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C3" w:rsidRDefault="00B24CA2" w:rsidP="00CD3552">
      <w:pPr>
        <w:pStyle w:val="Zusammenfassung"/>
        <w:spacing w:after="240" w:line="360" w:lineRule="auto"/>
        <w:ind w:right="986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noProof/>
          <w:color w:val="000000" w:themeColor="text1"/>
          <w:u w:val="single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-1580515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7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3386" w:rsidRPr="009A463D" w:rsidRDefault="00093386" w:rsidP="00093386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:rsidR="00093386" w:rsidRPr="009A463D" w:rsidRDefault="00093386" w:rsidP="00093386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zpráva.</w:t>
                              </w:r>
                            </w:p>
                            <w:p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7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093386" w:rsidRPr="009A463D" w:rsidRDefault="00093386" w:rsidP="00093386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:rsidR="00093386" w:rsidRPr="009A463D" w:rsidRDefault="00093386" w:rsidP="00093386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zpráva.</w:t>
                        </w:r>
                      </w:p>
                      <w:p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955C3">
        <w:rPr>
          <w:rFonts w:ascii="Arial" w:hAnsi="Arial" w:cs="Arial"/>
          <w:b/>
          <w:sz w:val="36"/>
          <w:szCs w:val="36"/>
          <w:lang w:val="cs-CZ"/>
        </w:rPr>
        <w:t>L</w:t>
      </w:r>
      <w:r w:rsidR="006663BD">
        <w:rPr>
          <w:rFonts w:ascii="Arial" w:hAnsi="Arial" w:cs="Arial"/>
          <w:b/>
          <w:sz w:val="36"/>
          <w:szCs w:val="36"/>
          <w:lang w:val="cs-CZ"/>
        </w:rPr>
        <w:t xml:space="preserve">inde představuje nové portfolio </w:t>
      </w:r>
      <w:r w:rsidR="001E720A">
        <w:rPr>
          <w:rFonts w:ascii="Arial" w:hAnsi="Arial" w:cs="Arial"/>
          <w:b/>
          <w:sz w:val="36"/>
          <w:szCs w:val="36"/>
          <w:lang w:val="cs-CZ"/>
        </w:rPr>
        <w:t>úzkých</w:t>
      </w:r>
      <w:r w:rsidR="00C87AAC">
        <w:rPr>
          <w:rFonts w:ascii="Arial" w:hAnsi="Arial" w:cs="Arial"/>
          <w:b/>
          <w:sz w:val="36"/>
          <w:szCs w:val="36"/>
          <w:lang w:val="cs-CZ"/>
        </w:rPr>
        <w:t>/</w:t>
      </w:r>
      <w:r w:rsidR="00CD3552">
        <w:rPr>
          <w:rFonts w:ascii="Arial" w:hAnsi="Arial" w:cs="Arial"/>
          <w:b/>
          <w:sz w:val="36"/>
          <w:szCs w:val="36"/>
          <w:lang w:val="cs-CZ"/>
        </w:rPr>
        <w:t xml:space="preserve">kompaktních </w:t>
      </w:r>
      <w:r w:rsidR="00C955C3">
        <w:rPr>
          <w:rFonts w:ascii="Arial" w:hAnsi="Arial" w:cs="Arial"/>
          <w:b/>
          <w:sz w:val="36"/>
          <w:szCs w:val="36"/>
          <w:lang w:val="cs-CZ"/>
        </w:rPr>
        <w:t xml:space="preserve">vozíků </w:t>
      </w:r>
    </w:p>
    <w:p w:rsidR="00646E85" w:rsidRDefault="00093386" w:rsidP="00860A5A">
      <w:pPr>
        <w:spacing w:after="240" w:line="360" w:lineRule="auto"/>
        <w:ind w:right="561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9A463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Praha</w:t>
      </w:r>
      <w:r w:rsidR="00BE08D5" w:rsidRPr="009A463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,</w:t>
      </w:r>
      <w:r w:rsidR="00C0574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18</w:t>
      </w:r>
      <w:r w:rsidR="00BE08D5" w:rsidRPr="009A463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.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BE08D5" w:rsidRPr="009A463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prosince</w:t>
      </w:r>
      <w:r w:rsidR="00A83EA6" w:rsidRPr="009A463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, </w:t>
      </w:r>
      <w:r w:rsidR="00EF53C9" w:rsidRPr="009A463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2018 – </w:t>
      </w:r>
      <w:r w:rsidR="00C955C3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Nové paletové a dvojité vysokozdvižné vozíky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C955C3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od společnosti Linde Material Handling v sobě spojují kompaktní design, lepší výhled na náklad, vyšší uživatelský komfort a široké spektrum doplňkové výbavy</w:t>
      </w:r>
      <w:r w:rsidR="001E720A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.</w:t>
      </w:r>
      <w:r w:rsidR="009536D6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1E720A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J</w:t>
      </w:r>
      <w:r w:rsidR="009536D6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sou užší než europaleta</w:t>
      </w:r>
      <w:r w:rsidR="001E720A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a</w:t>
      </w:r>
      <w:r w:rsidR="009536D6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zajišťují efektivní a bezpečný provoz v omezených prostorech. </w:t>
      </w:r>
      <w:r w:rsidR="00860A5A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Inovovaný</w:t>
      </w:r>
      <w:r w:rsidR="009536D6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design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vozíku je použit jak v modelech s</w:t>
      </w:r>
      <w:r w:rsidR="00B629C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 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chodící</w:t>
      </w:r>
      <w:r w:rsidR="00B629C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obsluhou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, tak i u verzí se sklopnou stupačkou</w:t>
      </w:r>
      <w:r w:rsidR="00B629C0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pro řidiče</w:t>
      </w:r>
      <w:r w:rsidR="00646E8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.</w:t>
      </w:r>
      <w:r w:rsidR="009536D6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</w:p>
    <w:p w:rsidR="000D6F7B" w:rsidRPr="009A463D" w:rsidRDefault="006663BD" w:rsidP="00860A5A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6663BD">
        <w:rPr>
          <w:rFonts w:ascii="Arial" w:hAnsi="Arial" w:cs="Arial"/>
          <w:i/>
          <w:sz w:val="22"/>
          <w:szCs w:val="22"/>
          <w:lang w:val="cs-CZ"/>
        </w:rPr>
        <w:t>„</w:t>
      </w:r>
      <w:r w:rsidR="009536D6" w:rsidRPr="006663BD">
        <w:rPr>
          <w:rFonts w:ascii="Arial" w:hAnsi="Arial" w:cs="Arial"/>
          <w:i/>
          <w:sz w:val="22"/>
          <w:szCs w:val="22"/>
          <w:lang w:val="cs-CZ"/>
        </w:rPr>
        <w:t>Omezený prostor</w:t>
      </w:r>
      <w:r w:rsidR="00AB2B6F" w:rsidRPr="006663BD">
        <w:rPr>
          <w:rFonts w:ascii="Arial" w:hAnsi="Arial" w:cs="Arial"/>
          <w:i/>
          <w:sz w:val="22"/>
          <w:szCs w:val="22"/>
          <w:lang w:val="cs-CZ"/>
        </w:rPr>
        <w:t>,</w:t>
      </w:r>
      <w:r w:rsidR="009536D6" w:rsidRPr="006663BD">
        <w:rPr>
          <w:rFonts w:ascii="Arial" w:hAnsi="Arial" w:cs="Arial"/>
          <w:i/>
          <w:sz w:val="22"/>
          <w:szCs w:val="22"/>
          <w:lang w:val="cs-CZ"/>
        </w:rPr>
        <w:t xml:space="preserve"> se kterým se v logistice setkáváme při nakládce a vykládce nákladních vozidel nebo při zaskladňování a vyskladňování palet</w:t>
      </w:r>
      <w:r w:rsidR="001E720A" w:rsidRPr="006663BD">
        <w:rPr>
          <w:rFonts w:ascii="Arial" w:hAnsi="Arial" w:cs="Arial"/>
          <w:i/>
          <w:sz w:val="22"/>
          <w:szCs w:val="22"/>
          <w:lang w:val="cs-CZ"/>
        </w:rPr>
        <w:t>,</w:t>
      </w:r>
      <w:r w:rsidR="009536D6" w:rsidRPr="006663BD">
        <w:rPr>
          <w:rFonts w:ascii="Arial" w:hAnsi="Arial" w:cs="Arial"/>
          <w:i/>
          <w:sz w:val="22"/>
          <w:szCs w:val="22"/>
          <w:lang w:val="cs-CZ"/>
        </w:rPr>
        <w:t xml:space="preserve"> znesnadňuje manipulaci s materiálem a zvyšuje riziko nehody nebo poškození nákladu.</w:t>
      </w:r>
      <w:r w:rsidR="00C02A16" w:rsidRPr="006663BD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C87AAC" w:rsidRPr="006663BD">
        <w:rPr>
          <w:rFonts w:ascii="Arial" w:hAnsi="Arial" w:cs="Arial"/>
          <w:i/>
          <w:sz w:val="22"/>
          <w:szCs w:val="22"/>
          <w:lang w:val="cs-CZ"/>
        </w:rPr>
        <w:t>Z</w:t>
      </w:r>
      <w:r w:rsidR="001E720A" w:rsidRPr="006663BD">
        <w:rPr>
          <w:rFonts w:ascii="Arial" w:hAnsi="Arial" w:cs="Arial"/>
          <w:i/>
          <w:sz w:val="22"/>
          <w:szCs w:val="22"/>
          <w:lang w:val="cs-CZ"/>
        </w:rPr>
        <w:t>avádíme</w:t>
      </w:r>
      <w:r w:rsidR="00AB2B6F" w:rsidRPr="006663BD">
        <w:rPr>
          <w:rFonts w:ascii="Arial" w:hAnsi="Arial" w:cs="Arial"/>
          <w:i/>
          <w:sz w:val="22"/>
          <w:szCs w:val="22"/>
          <w:lang w:val="cs-CZ"/>
        </w:rPr>
        <w:t xml:space="preserve"> proto kompaktnější vozíky s jednodušším manévrováním,</w:t>
      </w:r>
      <w:r w:rsidR="00F772FD" w:rsidRPr="006663BD">
        <w:rPr>
          <w:rFonts w:ascii="Arial" w:hAnsi="Arial" w:cs="Arial"/>
          <w:i/>
          <w:sz w:val="22"/>
          <w:szCs w:val="22"/>
          <w:lang w:val="cs-CZ"/>
        </w:rPr>
        <w:t>"</w:t>
      </w:r>
      <w:r w:rsidR="00AB2B6F">
        <w:rPr>
          <w:rFonts w:ascii="Arial" w:hAnsi="Arial" w:cs="Arial"/>
          <w:sz w:val="22"/>
          <w:szCs w:val="22"/>
          <w:lang w:val="cs-CZ"/>
        </w:rPr>
        <w:t xml:space="preserve"> </w:t>
      </w:r>
      <w:r w:rsidR="00F772FD" w:rsidRPr="009A463D">
        <w:rPr>
          <w:rFonts w:ascii="Arial" w:hAnsi="Arial" w:cs="Arial"/>
          <w:sz w:val="22"/>
          <w:szCs w:val="22"/>
          <w:lang w:val="cs-CZ"/>
        </w:rPr>
        <w:t>říká Toufik Oussou, Product Manager Warehouse Trucks ze společnosti Linde Material Handling</w:t>
      </w:r>
      <w:r w:rsidR="000D6F7B" w:rsidRPr="009A463D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D6F7B" w:rsidRPr="009A463D" w:rsidRDefault="000D6F7B" w:rsidP="00860A5A">
      <w:pPr>
        <w:spacing w:line="360" w:lineRule="auto"/>
        <w:ind w:right="987"/>
        <w:jc w:val="both"/>
        <w:rPr>
          <w:rFonts w:ascii="Arial" w:hAnsi="Arial" w:cs="Arial"/>
          <w:sz w:val="16"/>
          <w:szCs w:val="16"/>
          <w:lang w:val="cs-CZ"/>
        </w:rPr>
      </w:pPr>
    </w:p>
    <w:p w:rsidR="00AB2B6F" w:rsidRDefault="00AB2B6F" w:rsidP="00860A5A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6663BD">
        <w:rPr>
          <w:rFonts w:ascii="Arial" w:hAnsi="Arial" w:cs="Arial"/>
          <w:i/>
          <w:sz w:val="22"/>
          <w:szCs w:val="22"/>
          <w:lang w:val="cs-CZ"/>
        </w:rPr>
        <w:t>„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>Nové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 vozíky mají podvozek v šířce 720 mm, jsou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 xml:space="preserve">tedy 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užší než europalety.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>Díky tomu jsou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 snadno ovladatelné i v těch nejmenších prostorech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>. M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anipulace s nimi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 xml:space="preserve">je </w:t>
      </w:r>
      <w:r w:rsidRPr="006663BD">
        <w:rPr>
          <w:rFonts w:ascii="Arial" w:hAnsi="Arial" w:cs="Arial"/>
          <w:i/>
          <w:sz w:val="22"/>
          <w:szCs w:val="22"/>
          <w:lang w:val="cs-CZ"/>
        </w:rPr>
        <w:t>jednodušší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 xml:space="preserve"> a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 bezpečnější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 xml:space="preserve">, čímž 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stoupá i produktivita práce. Podařilo se nám navýšit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>počet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 verzí vozíku a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>variant</w:t>
      </w:r>
      <w:r w:rsidRPr="006663BD">
        <w:rPr>
          <w:rFonts w:ascii="Arial" w:hAnsi="Arial" w:cs="Arial"/>
          <w:i/>
          <w:sz w:val="22"/>
          <w:szCs w:val="22"/>
          <w:lang w:val="cs-CZ"/>
        </w:rPr>
        <w:t xml:space="preserve"> jejich doplňkového vybavení, což přispívá k větší efektivitě provozu.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 xml:space="preserve">Široká nabídka volitelné výbavy umožňuje našim zákazníkům zvolit manipulační vozík přesně podle potřeb </w:t>
      </w:r>
      <w:r w:rsidR="001E720A" w:rsidRPr="006663BD">
        <w:rPr>
          <w:rFonts w:ascii="Arial" w:hAnsi="Arial" w:cs="Arial"/>
          <w:i/>
          <w:sz w:val="22"/>
          <w:szCs w:val="22"/>
          <w:lang w:val="cs-CZ"/>
        </w:rPr>
        <w:t xml:space="preserve">jejich </w:t>
      </w:r>
      <w:r w:rsidR="008E2886" w:rsidRPr="006663BD">
        <w:rPr>
          <w:rFonts w:ascii="Arial" w:hAnsi="Arial" w:cs="Arial"/>
          <w:i/>
          <w:sz w:val="22"/>
          <w:szCs w:val="22"/>
          <w:lang w:val="cs-CZ"/>
        </w:rPr>
        <w:t>firmy,“</w:t>
      </w:r>
      <w:r w:rsidR="008E2886">
        <w:rPr>
          <w:rFonts w:ascii="Arial" w:hAnsi="Arial" w:cs="Arial"/>
          <w:sz w:val="22"/>
          <w:szCs w:val="22"/>
          <w:lang w:val="cs-CZ"/>
        </w:rPr>
        <w:t xml:space="preserve"> doplnil Toufik Oussou, Linde Product Manager.</w:t>
      </w:r>
    </w:p>
    <w:p w:rsidR="00F5089A" w:rsidRDefault="00F5089A" w:rsidP="00860A5A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</w:p>
    <w:p w:rsidR="00B24CA2" w:rsidRPr="00B24CA2" w:rsidRDefault="00B24CA2" w:rsidP="00860A5A">
      <w:pPr>
        <w:spacing w:line="360" w:lineRule="auto"/>
        <w:ind w:right="987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24CA2">
        <w:rPr>
          <w:rFonts w:ascii="Arial" w:hAnsi="Arial" w:cs="Arial"/>
          <w:b/>
          <w:sz w:val="22"/>
          <w:szCs w:val="22"/>
          <w:lang w:val="cs-CZ"/>
        </w:rPr>
        <w:t>Snadná manipulace a důraz na bezpečnost</w:t>
      </w:r>
    </w:p>
    <w:p w:rsidR="00B24CA2" w:rsidRDefault="00B24CA2" w:rsidP="00860A5A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</w:p>
    <w:p w:rsidR="00F5089A" w:rsidRDefault="00F5089A" w:rsidP="00860A5A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Nové paletové vozíky </w:t>
      </w:r>
      <w:r w:rsidRPr="009A463D">
        <w:rPr>
          <w:rFonts w:ascii="Arial" w:hAnsi="Arial" w:cs="Arial"/>
          <w:sz w:val="22"/>
          <w:szCs w:val="22"/>
          <w:lang w:val="cs-CZ"/>
        </w:rPr>
        <w:t>Linde T25 a T30</w:t>
      </w:r>
      <w:r>
        <w:rPr>
          <w:rFonts w:ascii="Arial" w:hAnsi="Arial" w:cs="Arial"/>
          <w:sz w:val="22"/>
          <w:szCs w:val="22"/>
          <w:lang w:val="cs-CZ"/>
        </w:rPr>
        <w:t>,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s nosností 2,5 až 3,0 tuny</w:t>
      </w:r>
      <w:r w:rsidR="006663BD">
        <w:rPr>
          <w:rFonts w:ascii="Arial" w:hAnsi="Arial" w:cs="Arial"/>
          <w:sz w:val="22"/>
          <w:szCs w:val="22"/>
          <w:lang w:val="cs-CZ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 xml:space="preserve"> jsou primárně využívány pro přepravu zboží na krátké až středně dlouhé trasy.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Velkou přednost</w:t>
      </w:r>
      <w:r w:rsidR="001E720A">
        <w:rPr>
          <w:rFonts w:ascii="Arial" w:hAnsi="Arial" w:cs="Arial"/>
          <w:sz w:val="22"/>
          <w:szCs w:val="22"/>
          <w:lang w:val="cs-CZ"/>
        </w:rPr>
        <w:t>í</w:t>
      </w:r>
      <w:r>
        <w:rPr>
          <w:rFonts w:ascii="Arial" w:hAnsi="Arial" w:cs="Arial"/>
          <w:sz w:val="22"/>
          <w:szCs w:val="22"/>
          <w:lang w:val="cs-CZ"/>
        </w:rPr>
        <w:t xml:space="preserve"> vozíku s chodící obsluhou</w:t>
      </w:r>
      <w:r w:rsidR="001E720A">
        <w:rPr>
          <w:rFonts w:ascii="Arial" w:hAnsi="Arial" w:cs="Arial"/>
          <w:sz w:val="22"/>
          <w:szCs w:val="22"/>
          <w:lang w:val="cs-CZ"/>
        </w:rPr>
        <w:t xml:space="preserve"> je</w:t>
      </w:r>
      <w:r>
        <w:rPr>
          <w:rFonts w:ascii="Arial" w:hAnsi="Arial" w:cs="Arial"/>
          <w:sz w:val="22"/>
          <w:szCs w:val="22"/>
          <w:lang w:val="cs-CZ"/>
        </w:rPr>
        <w:t xml:space="preserve"> dlouhá řídící ojka, která je </w:t>
      </w:r>
      <w:r w:rsidRPr="009A463D">
        <w:rPr>
          <w:rFonts w:ascii="Arial" w:hAnsi="Arial" w:cs="Arial"/>
          <w:sz w:val="22"/>
          <w:szCs w:val="22"/>
          <w:lang w:val="cs-CZ"/>
        </w:rPr>
        <w:t>namontován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velmi nízko </w:t>
      </w:r>
      <w:r w:rsidRPr="009A463D">
        <w:rPr>
          <w:rFonts w:ascii="Arial" w:hAnsi="Arial" w:cs="Arial"/>
          <w:sz w:val="22"/>
          <w:szCs w:val="22"/>
          <w:lang w:val="cs-CZ"/>
        </w:rPr>
        <w:t>na podvozku</w:t>
      </w:r>
      <w:r w:rsidR="001E720A">
        <w:rPr>
          <w:rFonts w:ascii="Arial" w:hAnsi="Arial" w:cs="Arial"/>
          <w:sz w:val="22"/>
          <w:szCs w:val="22"/>
          <w:lang w:val="cs-CZ"/>
        </w:rPr>
        <w:t>.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 w:rsidR="001E720A">
        <w:rPr>
          <w:rFonts w:ascii="Arial" w:hAnsi="Arial" w:cs="Arial"/>
          <w:sz w:val="22"/>
          <w:szCs w:val="22"/>
          <w:lang w:val="cs-CZ"/>
        </w:rPr>
        <w:t>Z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ajišťuje </w:t>
      </w:r>
      <w:r>
        <w:rPr>
          <w:rFonts w:ascii="Arial" w:hAnsi="Arial" w:cs="Arial"/>
          <w:sz w:val="22"/>
          <w:szCs w:val="22"/>
          <w:lang w:val="cs-CZ"/>
        </w:rPr>
        <w:t>bezpečnou vzdálenost mezi vozík</w:t>
      </w:r>
      <w:r w:rsidRPr="009A463D">
        <w:rPr>
          <w:rFonts w:ascii="Arial" w:hAnsi="Arial" w:cs="Arial"/>
          <w:sz w:val="22"/>
          <w:szCs w:val="22"/>
          <w:lang w:val="cs-CZ"/>
        </w:rPr>
        <w:t>em a obsluhou. Všech</w:t>
      </w:r>
      <w:r>
        <w:rPr>
          <w:rFonts w:ascii="Arial" w:hAnsi="Arial" w:cs="Arial"/>
          <w:sz w:val="22"/>
          <w:szCs w:val="22"/>
          <w:lang w:val="cs-CZ"/>
        </w:rPr>
        <w:t>n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y ovládací páky se nacházejí v ergonomické </w:t>
      </w:r>
      <w:r>
        <w:rPr>
          <w:rFonts w:ascii="Arial" w:hAnsi="Arial" w:cs="Arial"/>
          <w:sz w:val="22"/>
          <w:szCs w:val="22"/>
          <w:lang w:val="cs-CZ"/>
        </w:rPr>
        <w:t xml:space="preserve">oblasti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hlavy </w:t>
      </w:r>
      <w:r>
        <w:rPr>
          <w:rFonts w:ascii="Arial" w:hAnsi="Arial" w:cs="Arial"/>
          <w:sz w:val="22"/>
          <w:szCs w:val="22"/>
          <w:lang w:val="cs-CZ"/>
        </w:rPr>
        <w:t xml:space="preserve">řídící ojky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a lze je </w:t>
      </w:r>
      <w:r>
        <w:rPr>
          <w:rFonts w:ascii="Arial" w:hAnsi="Arial" w:cs="Arial"/>
          <w:sz w:val="22"/>
          <w:szCs w:val="22"/>
          <w:lang w:val="cs-CZ"/>
        </w:rPr>
        <w:t xml:space="preserve">snadno </w:t>
      </w:r>
      <w:r w:rsidRPr="009A463D">
        <w:rPr>
          <w:rFonts w:ascii="Arial" w:hAnsi="Arial" w:cs="Arial"/>
          <w:sz w:val="22"/>
          <w:szCs w:val="22"/>
          <w:lang w:val="cs-CZ"/>
        </w:rPr>
        <w:t>ovládat prsty jak prav</w:t>
      </w:r>
      <w:r>
        <w:rPr>
          <w:rFonts w:ascii="Arial" w:hAnsi="Arial" w:cs="Arial"/>
          <w:sz w:val="22"/>
          <w:szCs w:val="22"/>
          <w:lang w:val="cs-CZ"/>
        </w:rPr>
        <w:t>é</w:t>
      </w:r>
      <w:r w:rsidRPr="009A463D">
        <w:rPr>
          <w:rFonts w:ascii="Arial" w:hAnsi="Arial" w:cs="Arial"/>
          <w:sz w:val="22"/>
          <w:szCs w:val="22"/>
          <w:lang w:val="cs-CZ"/>
        </w:rPr>
        <w:t>, tak lev</w:t>
      </w:r>
      <w:r>
        <w:rPr>
          <w:rFonts w:ascii="Arial" w:hAnsi="Arial" w:cs="Arial"/>
          <w:sz w:val="22"/>
          <w:szCs w:val="22"/>
          <w:lang w:val="cs-CZ"/>
        </w:rPr>
        <w:t>é ruky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. Jasně uspořádaný </w:t>
      </w:r>
      <w:r>
        <w:rPr>
          <w:rFonts w:ascii="Arial" w:hAnsi="Arial" w:cs="Arial"/>
          <w:sz w:val="22"/>
          <w:szCs w:val="22"/>
          <w:lang w:val="cs-CZ"/>
        </w:rPr>
        <w:t xml:space="preserve">palubní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displej zobrazuje </w:t>
      </w:r>
      <w:r w:rsidRPr="009A463D">
        <w:rPr>
          <w:rFonts w:ascii="Arial" w:hAnsi="Arial" w:cs="Arial"/>
          <w:sz w:val="22"/>
          <w:szCs w:val="22"/>
          <w:lang w:val="cs-CZ"/>
        </w:rPr>
        <w:lastRenderedPageBreak/>
        <w:t>všechny důležité informace o stavu voz</w:t>
      </w:r>
      <w:r>
        <w:rPr>
          <w:rFonts w:ascii="Arial" w:hAnsi="Arial" w:cs="Arial"/>
          <w:sz w:val="22"/>
          <w:szCs w:val="22"/>
          <w:lang w:val="cs-CZ"/>
        </w:rPr>
        <w:t>íku</w:t>
      </w:r>
      <w:r w:rsidRPr="009A463D">
        <w:rPr>
          <w:rFonts w:ascii="Arial" w:hAnsi="Arial" w:cs="Arial"/>
          <w:sz w:val="22"/>
          <w:szCs w:val="22"/>
          <w:lang w:val="cs-CZ"/>
        </w:rPr>
        <w:t>. Řada brzdových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a bezpečnostních systémů, stejně jako nouzové vypínače, </w:t>
      </w:r>
      <w:r>
        <w:rPr>
          <w:rFonts w:ascii="Arial" w:hAnsi="Arial" w:cs="Arial"/>
          <w:sz w:val="22"/>
          <w:szCs w:val="22"/>
          <w:lang w:val="cs-CZ"/>
        </w:rPr>
        <w:t>poskytují žádoucí ochranu pro řidiče.</w:t>
      </w:r>
    </w:p>
    <w:p w:rsidR="00B24CA2" w:rsidRDefault="00B24CA2" w:rsidP="00860A5A">
      <w:pPr>
        <w:tabs>
          <w:tab w:val="num" w:pos="720"/>
        </w:tabs>
        <w:spacing w:after="240" w:line="360" w:lineRule="auto"/>
        <w:ind w:right="986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B24CA2" w:rsidRPr="00B24CA2" w:rsidRDefault="00B24CA2" w:rsidP="00860A5A">
      <w:pPr>
        <w:tabs>
          <w:tab w:val="num" w:pos="720"/>
        </w:tabs>
        <w:spacing w:after="240" w:line="360" w:lineRule="auto"/>
        <w:ind w:right="986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24CA2">
        <w:rPr>
          <w:rFonts w:ascii="Arial" w:hAnsi="Arial" w:cs="Arial"/>
          <w:b/>
          <w:sz w:val="22"/>
          <w:szCs w:val="22"/>
          <w:lang w:val="cs-CZ"/>
        </w:rPr>
        <w:t>Optimální volitelná výbava</w:t>
      </w:r>
    </w:p>
    <w:p w:rsidR="00860A5A" w:rsidRPr="009A463D" w:rsidRDefault="00860A5A" w:rsidP="00860A5A">
      <w:pPr>
        <w:tabs>
          <w:tab w:val="num" w:pos="720"/>
        </w:tabs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860A5A">
        <w:rPr>
          <w:rFonts w:ascii="Arial" w:hAnsi="Arial" w:cs="Arial"/>
          <w:sz w:val="22"/>
          <w:szCs w:val="22"/>
          <w:lang w:val="cs-CZ"/>
        </w:rPr>
        <w:t>Volitelná výbava</w:t>
      </w:r>
      <w:r>
        <w:rPr>
          <w:rFonts w:ascii="Arial" w:hAnsi="Arial" w:cs="Arial"/>
          <w:sz w:val="22"/>
          <w:szCs w:val="22"/>
          <w:lang w:val="cs-CZ"/>
        </w:rPr>
        <w:t xml:space="preserve"> vozíku nabízí jak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tlačítko pro pl</w:t>
      </w:r>
      <w:r>
        <w:rPr>
          <w:rFonts w:ascii="Arial" w:hAnsi="Arial" w:cs="Arial"/>
          <w:sz w:val="22"/>
          <w:szCs w:val="22"/>
          <w:lang w:val="cs-CZ"/>
        </w:rPr>
        <w:t>íživý pojezd</w:t>
      </w:r>
      <w:r w:rsidRPr="009A463D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tak ochrann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é </w:t>
      </w:r>
      <w:r>
        <w:rPr>
          <w:rFonts w:ascii="Arial" w:hAnsi="Arial" w:cs="Arial"/>
          <w:sz w:val="22"/>
          <w:szCs w:val="22"/>
          <w:lang w:val="cs-CZ"/>
        </w:rPr>
        <w:t xml:space="preserve">mříže pro různě velký náklad. </w:t>
      </w:r>
      <w:r w:rsidR="00CD3552" w:rsidRPr="00CD3552">
        <w:rPr>
          <w:rFonts w:ascii="Arial" w:hAnsi="Arial" w:cs="Arial"/>
          <w:sz w:val="22"/>
          <w:szCs w:val="22"/>
          <w:lang w:val="cs-CZ"/>
        </w:rPr>
        <w:t>O</w:t>
      </w:r>
      <w:r w:rsidRPr="00CD3552">
        <w:rPr>
          <w:rFonts w:ascii="Arial" w:hAnsi="Arial" w:cs="Arial"/>
          <w:sz w:val="22"/>
          <w:szCs w:val="22"/>
          <w:lang w:val="cs-CZ"/>
        </w:rPr>
        <w:t xml:space="preserve">bsahuje systém řízení vozíkové flotily Linde connect </w:t>
      </w:r>
      <w:r w:rsidR="00CD3552" w:rsidRPr="00CD3552">
        <w:rPr>
          <w:rFonts w:ascii="Arial" w:hAnsi="Arial" w:cs="Arial"/>
          <w:sz w:val="22"/>
          <w:szCs w:val="22"/>
          <w:lang w:val="cs-CZ"/>
        </w:rPr>
        <w:t>zahrnující kontrolu</w:t>
      </w:r>
      <w:r w:rsidRPr="00CD3552">
        <w:rPr>
          <w:rFonts w:ascii="Arial" w:hAnsi="Arial" w:cs="Arial"/>
          <w:sz w:val="22"/>
          <w:szCs w:val="22"/>
          <w:lang w:val="cs-CZ"/>
        </w:rPr>
        <w:t xml:space="preserve"> přístupu k řízení vozíku</w:t>
      </w:r>
      <w:r w:rsidR="00CD3552" w:rsidRPr="00CD3552">
        <w:rPr>
          <w:rFonts w:ascii="Arial" w:hAnsi="Arial" w:cs="Arial"/>
          <w:sz w:val="22"/>
          <w:szCs w:val="22"/>
          <w:lang w:val="cs-CZ"/>
        </w:rPr>
        <w:t>, zaznamenávání a</w:t>
      </w:r>
      <w:r w:rsidRPr="00CD3552">
        <w:rPr>
          <w:rFonts w:ascii="Arial" w:hAnsi="Arial" w:cs="Arial"/>
          <w:sz w:val="22"/>
          <w:szCs w:val="22"/>
          <w:lang w:val="cs-CZ"/>
        </w:rPr>
        <w:t xml:space="preserve"> kontrolu eskalace rázů, stejně jako analýzu jejich využití.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1E720A">
        <w:rPr>
          <w:rFonts w:ascii="Arial" w:hAnsi="Arial" w:cs="Arial"/>
          <w:sz w:val="22"/>
          <w:szCs w:val="22"/>
          <w:lang w:val="cs-CZ"/>
        </w:rPr>
        <w:t xml:space="preserve">Zahrnuje </w:t>
      </w:r>
      <w:r w:rsidRPr="009A463D">
        <w:rPr>
          <w:rFonts w:ascii="Arial" w:hAnsi="Arial" w:cs="Arial"/>
          <w:sz w:val="22"/>
          <w:szCs w:val="22"/>
          <w:lang w:val="cs-CZ"/>
        </w:rPr>
        <w:t>osvědčen</w:t>
      </w:r>
      <w:r>
        <w:rPr>
          <w:rFonts w:ascii="Arial" w:hAnsi="Arial" w:cs="Arial"/>
          <w:sz w:val="22"/>
          <w:szCs w:val="22"/>
          <w:lang w:val="cs-CZ"/>
        </w:rPr>
        <w:t>é varovné světlo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Linde BlueSpot,</w:t>
      </w:r>
      <w:r>
        <w:rPr>
          <w:rFonts w:ascii="Arial" w:hAnsi="Arial" w:cs="Arial"/>
          <w:sz w:val="22"/>
          <w:szCs w:val="22"/>
          <w:lang w:val="cs-CZ"/>
        </w:rPr>
        <w:t xml:space="preserve"> které promítá na zem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varovný bod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pomocí LED </w:t>
      </w:r>
      <w:r>
        <w:rPr>
          <w:rFonts w:ascii="Arial" w:hAnsi="Arial" w:cs="Arial"/>
          <w:sz w:val="22"/>
          <w:szCs w:val="22"/>
          <w:lang w:val="cs-CZ"/>
        </w:rPr>
        <w:t>diod,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čímž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upozorňuje na blížící se voz</w:t>
      </w:r>
      <w:r>
        <w:rPr>
          <w:rFonts w:ascii="Arial" w:hAnsi="Arial" w:cs="Arial"/>
          <w:sz w:val="22"/>
          <w:szCs w:val="22"/>
          <w:lang w:val="cs-CZ"/>
        </w:rPr>
        <w:t>ík</w:t>
      </w:r>
      <w:r w:rsidRPr="009A463D">
        <w:rPr>
          <w:rFonts w:ascii="Arial" w:hAnsi="Arial" w:cs="Arial"/>
          <w:sz w:val="22"/>
          <w:szCs w:val="22"/>
          <w:lang w:val="cs-CZ"/>
        </w:rPr>
        <w:t>.</w:t>
      </w:r>
    </w:p>
    <w:p w:rsidR="00CF5D05" w:rsidRDefault="008D60EE" w:rsidP="00860A5A">
      <w:pPr>
        <w:spacing w:after="240" w:line="360" w:lineRule="auto"/>
        <w:ind w:right="986"/>
        <w:jc w:val="both"/>
        <w:rPr>
          <w:lang w:val="cs-CZ"/>
        </w:rPr>
      </w:pPr>
      <w:r w:rsidRPr="009A463D">
        <w:rPr>
          <w:rFonts w:ascii="Arial" w:hAnsi="Arial" w:cs="Arial"/>
          <w:sz w:val="22"/>
          <w:szCs w:val="22"/>
          <w:lang w:val="cs-CZ"/>
        </w:rPr>
        <w:t xml:space="preserve">Nové dvojité </w:t>
      </w:r>
      <w:r w:rsidR="00A855C7">
        <w:rPr>
          <w:rFonts w:ascii="Arial" w:hAnsi="Arial" w:cs="Arial"/>
          <w:sz w:val="22"/>
          <w:szCs w:val="22"/>
          <w:lang w:val="cs-CZ"/>
        </w:rPr>
        <w:t>vysokozdvižné vozíky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jsou </w:t>
      </w:r>
      <w:r w:rsidR="00C02A16">
        <w:rPr>
          <w:rFonts w:ascii="Arial" w:hAnsi="Arial" w:cs="Arial"/>
          <w:sz w:val="22"/>
          <w:szCs w:val="22"/>
          <w:lang w:val="cs-CZ"/>
        </w:rPr>
        <w:t>vhodné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pro použití v uzavřených prostorech</w:t>
      </w:r>
      <w:r w:rsidR="00A95582">
        <w:rPr>
          <w:rFonts w:ascii="Arial" w:hAnsi="Arial" w:cs="Arial"/>
          <w:sz w:val="22"/>
          <w:szCs w:val="22"/>
          <w:lang w:val="cs-CZ"/>
        </w:rPr>
        <w:t xml:space="preserve">, </w:t>
      </w:r>
      <w:r w:rsidR="00860A5A">
        <w:rPr>
          <w:rFonts w:ascii="Arial" w:hAnsi="Arial" w:cs="Arial"/>
          <w:sz w:val="22"/>
          <w:szCs w:val="22"/>
          <w:lang w:val="cs-CZ"/>
        </w:rPr>
        <w:t>jako</w:t>
      </w:r>
      <w:r w:rsidR="001E720A">
        <w:rPr>
          <w:rFonts w:ascii="Arial" w:hAnsi="Arial" w:cs="Arial"/>
          <w:sz w:val="22"/>
          <w:szCs w:val="22"/>
          <w:lang w:val="cs-CZ"/>
        </w:rPr>
        <w:t xml:space="preserve"> jsou</w:t>
      </w:r>
      <w:r w:rsidR="00860A5A">
        <w:rPr>
          <w:rFonts w:ascii="Arial" w:hAnsi="Arial" w:cs="Arial"/>
          <w:sz w:val="22"/>
          <w:szCs w:val="22"/>
          <w:lang w:val="cs-CZ"/>
        </w:rPr>
        <w:t xml:space="preserve"> </w:t>
      </w:r>
      <w:r w:rsidR="00A95582">
        <w:rPr>
          <w:rFonts w:ascii="Arial" w:hAnsi="Arial" w:cs="Arial"/>
          <w:sz w:val="22"/>
          <w:szCs w:val="22"/>
          <w:lang w:val="cs-CZ"/>
        </w:rPr>
        <w:t xml:space="preserve">například </w:t>
      </w:r>
      <w:r w:rsidRPr="009A463D">
        <w:rPr>
          <w:rFonts w:ascii="Arial" w:hAnsi="Arial" w:cs="Arial"/>
          <w:sz w:val="22"/>
          <w:szCs w:val="22"/>
          <w:lang w:val="cs-CZ"/>
        </w:rPr>
        <w:t>vnitřní</w:t>
      </w:r>
      <w:r w:rsidR="00A855C7">
        <w:rPr>
          <w:rFonts w:ascii="Arial" w:hAnsi="Arial" w:cs="Arial"/>
          <w:sz w:val="22"/>
          <w:szCs w:val="22"/>
          <w:lang w:val="cs-CZ"/>
        </w:rPr>
        <w:t xml:space="preserve"> ložné plochy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nákladní</w:t>
      </w:r>
      <w:r w:rsidR="00A855C7">
        <w:rPr>
          <w:rFonts w:ascii="Arial" w:hAnsi="Arial" w:cs="Arial"/>
          <w:sz w:val="22"/>
          <w:szCs w:val="22"/>
          <w:lang w:val="cs-CZ"/>
        </w:rPr>
        <w:t>ch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automobil</w:t>
      </w:r>
      <w:r w:rsidR="00A855C7">
        <w:rPr>
          <w:rFonts w:ascii="Arial" w:hAnsi="Arial" w:cs="Arial"/>
          <w:sz w:val="22"/>
          <w:szCs w:val="22"/>
          <w:lang w:val="cs-CZ"/>
        </w:rPr>
        <w:t>ů</w:t>
      </w:r>
      <w:r w:rsidR="00CF5D05">
        <w:rPr>
          <w:rFonts w:ascii="Arial" w:hAnsi="Arial" w:cs="Arial"/>
          <w:sz w:val="22"/>
          <w:szCs w:val="22"/>
          <w:lang w:val="cs-CZ"/>
        </w:rPr>
        <w:t>.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 w:rsidR="0033559C">
        <w:rPr>
          <w:rFonts w:ascii="Arial" w:hAnsi="Arial" w:cs="Arial"/>
          <w:sz w:val="22"/>
          <w:szCs w:val="22"/>
          <w:lang w:val="cs-CZ"/>
        </w:rPr>
        <w:t>Umí</w:t>
      </w:r>
      <w:r w:rsidR="00A95582">
        <w:rPr>
          <w:rFonts w:ascii="Arial" w:hAnsi="Arial" w:cs="Arial"/>
          <w:sz w:val="22"/>
          <w:szCs w:val="22"/>
          <w:lang w:val="cs-CZ"/>
        </w:rPr>
        <w:t xml:space="preserve"> </w:t>
      </w:r>
      <w:r w:rsidRPr="009A463D">
        <w:rPr>
          <w:rFonts w:ascii="Arial" w:hAnsi="Arial" w:cs="Arial"/>
          <w:sz w:val="22"/>
          <w:szCs w:val="22"/>
          <w:lang w:val="cs-CZ"/>
        </w:rPr>
        <w:t>současně přepravovat dvě palety</w:t>
      </w:r>
      <w:r w:rsidR="00CF5D05">
        <w:rPr>
          <w:rFonts w:ascii="Arial" w:hAnsi="Arial" w:cs="Arial"/>
          <w:sz w:val="22"/>
          <w:szCs w:val="22"/>
          <w:lang w:val="cs-CZ"/>
        </w:rPr>
        <w:t xml:space="preserve">, čímž </w:t>
      </w:r>
      <w:r w:rsidR="00A95582">
        <w:rPr>
          <w:rFonts w:ascii="Arial" w:hAnsi="Arial" w:cs="Arial"/>
          <w:sz w:val="22"/>
          <w:szCs w:val="22"/>
          <w:lang w:val="cs-CZ"/>
        </w:rPr>
        <w:t xml:space="preserve">dosahují </w:t>
      </w:r>
      <w:r w:rsidRPr="009A463D">
        <w:rPr>
          <w:rFonts w:ascii="Arial" w:hAnsi="Arial" w:cs="Arial"/>
          <w:sz w:val="22"/>
          <w:szCs w:val="22"/>
          <w:lang w:val="cs-CZ"/>
        </w:rPr>
        <w:t>vyšší produktivit</w:t>
      </w:r>
      <w:r w:rsidR="00860A5A">
        <w:rPr>
          <w:rFonts w:ascii="Arial" w:hAnsi="Arial" w:cs="Arial"/>
          <w:sz w:val="22"/>
          <w:szCs w:val="22"/>
          <w:lang w:val="cs-CZ"/>
        </w:rPr>
        <w:t>y</w:t>
      </w:r>
      <w:r w:rsidR="00A855C7">
        <w:rPr>
          <w:rFonts w:ascii="Arial" w:hAnsi="Arial" w:cs="Arial"/>
          <w:sz w:val="22"/>
          <w:szCs w:val="22"/>
          <w:lang w:val="cs-CZ"/>
        </w:rPr>
        <w:t xml:space="preserve"> nakládky</w:t>
      </w:r>
      <w:r w:rsidR="00CF5D05">
        <w:rPr>
          <w:rFonts w:ascii="Arial" w:hAnsi="Arial" w:cs="Arial"/>
          <w:sz w:val="22"/>
          <w:szCs w:val="22"/>
          <w:lang w:val="cs-CZ"/>
        </w:rPr>
        <w:t>. M</w:t>
      </w:r>
      <w:r w:rsidRPr="009A463D">
        <w:rPr>
          <w:rFonts w:ascii="Arial" w:hAnsi="Arial" w:cs="Arial"/>
          <w:sz w:val="22"/>
          <w:szCs w:val="22"/>
          <w:lang w:val="cs-CZ"/>
        </w:rPr>
        <w:t>ohou být také použity při skladování a vy</w:t>
      </w:r>
      <w:r w:rsidR="00A855C7">
        <w:rPr>
          <w:rFonts w:ascii="Arial" w:hAnsi="Arial" w:cs="Arial"/>
          <w:sz w:val="22"/>
          <w:szCs w:val="22"/>
          <w:lang w:val="cs-CZ"/>
        </w:rPr>
        <w:t>skladň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ování palet, přičemž maximální nosnost hlavního a </w:t>
      </w:r>
      <w:r w:rsidR="00A855C7">
        <w:rPr>
          <w:rFonts w:ascii="Arial" w:hAnsi="Arial" w:cs="Arial"/>
          <w:sz w:val="22"/>
          <w:szCs w:val="22"/>
          <w:lang w:val="cs-CZ"/>
        </w:rPr>
        <w:t>iniciál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ního </w:t>
      </w:r>
      <w:r w:rsidR="00A855C7">
        <w:rPr>
          <w:rFonts w:ascii="Arial" w:hAnsi="Arial" w:cs="Arial"/>
          <w:sz w:val="22"/>
          <w:szCs w:val="22"/>
          <w:lang w:val="cs-CZ"/>
        </w:rPr>
        <w:t>zd</w:t>
      </w:r>
      <w:r w:rsidRPr="009A463D">
        <w:rPr>
          <w:rFonts w:ascii="Arial" w:hAnsi="Arial" w:cs="Arial"/>
          <w:sz w:val="22"/>
          <w:szCs w:val="22"/>
          <w:lang w:val="cs-CZ"/>
        </w:rPr>
        <w:t>v</w:t>
      </w:r>
      <w:r w:rsidR="00A855C7">
        <w:rPr>
          <w:rFonts w:ascii="Arial" w:hAnsi="Arial" w:cs="Arial"/>
          <w:sz w:val="22"/>
          <w:szCs w:val="22"/>
          <w:lang w:val="cs-CZ"/>
        </w:rPr>
        <w:t>i</w:t>
      </w:r>
      <w:r w:rsidRPr="009A463D">
        <w:rPr>
          <w:rFonts w:ascii="Arial" w:hAnsi="Arial" w:cs="Arial"/>
          <w:sz w:val="22"/>
          <w:szCs w:val="22"/>
          <w:lang w:val="cs-CZ"/>
        </w:rPr>
        <w:t>hu činí vždy jednu tunu.</w:t>
      </w:r>
      <w:r w:rsidRPr="009A463D">
        <w:rPr>
          <w:lang w:val="cs-CZ"/>
        </w:rPr>
        <w:t xml:space="preserve"> </w:t>
      </w:r>
    </w:p>
    <w:p w:rsidR="00B24CA2" w:rsidRPr="00B24CA2" w:rsidRDefault="00B24CA2" w:rsidP="00860A5A">
      <w:pPr>
        <w:spacing w:after="240" w:line="360" w:lineRule="auto"/>
        <w:ind w:right="986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B24CA2">
        <w:rPr>
          <w:rFonts w:ascii="Arial" w:hAnsi="Arial" w:cs="Arial"/>
          <w:b/>
          <w:sz w:val="22"/>
          <w:szCs w:val="22"/>
          <w:lang w:val="cs-CZ"/>
        </w:rPr>
        <w:t>Maximální viditelnost</w:t>
      </w:r>
    </w:p>
    <w:p w:rsidR="008F4415" w:rsidRPr="009A463D" w:rsidRDefault="008D60EE" w:rsidP="00860A5A">
      <w:pPr>
        <w:spacing w:after="240" w:line="360" w:lineRule="auto"/>
        <w:ind w:right="986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9A463D">
        <w:rPr>
          <w:rFonts w:ascii="Arial" w:hAnsi="Arial" w:cs="Arial"/>
          <w:sz w:val="22"/>
          <w:szCs w:val="22"/>
          <w:lang w:val="cs-CZ"/>
        </w:rPr>
        <w:t xml:space="preserve">Aby </w:t>
      </w:r>
      <w:r w:rsidR="00A855C7">
        <w:rPr>
          <w:rFonts w:ascii="Arial" w:hAnsi="Arial" w:cs="Arial"/>
          <w:sz w:val="22"/>
          <w:szCs w:val="22"/>
          <w:lang w:val="cs-CZ"/>
        </w:rPr>
        <w:t xml:space="preserve">bylo </w:t>
      </w:r>
      <w:r w:rsidRPr="009A463D">
        <w:rPr>
          <w:rFonts w:ascii="Arial" w:hAnsi="Arial" w:cs="Arial"/>
          <w:sz w:val="22"/>
          <w:szCs w:val="22"/>
          <w:lang w:val="cs-CZ"/>
        </w:rPr>
        <w:t>zaji</w:t>
      </w:r>
      <w:r w:rsidR="00A855C7">
        <w:rPr>
          <w:rFonts w:ascii="Arial" w:hAnsi="Arial" w:cs="Arial"/>
          <w:sz w:val="22"/>
          <w:szCs w:val="22"/>
          <w:lang w:val="cs-CZ"/>
        </w:rPr>
        <w:t>štěno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, že řidič může současně bezpečně přepravovat dvě palety, </w:t>
      </w:r>
      <w:r w:rsidR="00A95582">
        <w:rPr>
          <w:rFonts w:ascii="Arial" w:hAnsi="Arial" w:cs="Arial"/>
          <w:sz w:val="22"/>
          <w:szCs w:val="22"/>
          <w:lang w:val="cs-CZ"/>
        </w:rPr>
        <w:t xml:space="preserve">kladli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vývojáři společnosti Linde Material Handling </w:t>
      </w:r>
      <w:r w:rsidR="0033559C">
        <w:rPr>
          <w:rFonts w:ascii="Arial" w:hAnsi="Arial" w:cs="Arial"/>
          <w:sz w:val="22"/>
          <w:szCs w:val="22"/>
          <w:lang w:val="cs-CZ"/>
        </w:rPr>
        <w:t>velký důraz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 w:rsidR="00A95582">
        <w:rPr>
          <w:rFonts w:ascii="Arial" w:hAnsi="Arial" w:cs="Arial"/>
          <w:sz w:val="22"/>
          <w:szCs w:val="22"/>
          <w:lang w:val="cs-CZ"/>
        </w:rPr>
        <w:t xml:space="preserve">na </w:t>
      </w:r>
      <w:r w:rsidR="001E720A">
        <w:rPr>
          <w:rFonts w:ascii="Arial" w:hAnsi="Arial" w:cs="Arial"/>
          <w:sz w:val="22"/>
          <w:szCs w:val="22"/>
          <w:lang w:val="cs-CZ"/>
        </w:rPr>
        <w:t xml:space="preserve">extrémně dobrou </w:t>
      </w:r>
      <w:r w:rsidR="00A95582">
        <w:rPr>
          <w:rFonts w:ascii="Arial" w:hAnsi="Arial" w:cs="Arial"/>
          <w:sz w:val="22"/>
          <w:szCs w:val="22"/>
          <w:lang w:val="cs-CZ"/>
        </w:rPr>
        <w:t>viditelnost</w:t>
      </w:r>
      <w:r w:rsidR="0033559C">
        <w:rPr>
          <w:rFonts w:ascii="Arial" w:hAnsi="Arial" w:cs="Arial"/>
          <w:sz w:val="22"/>
          <w:szCs w:val="22"/>
          <w:lang w:val="cs-CZ"/>
        </w:rPr>
        <w:t xml:space="preserve"> přes</w:t>
      </w:r>
      <w:r w:rsidR="00A95582">
        <w:rPr>
          <w:rFonts w:ascii="Arial" w:hAnsi="Arial" w:cs="Arial"/>
          <w:sz w:val="22"/>
          <w:szCs w:val="22"/>
          <w:lang w:val="cs-CZ"/>
        </w:rPr>
        <w:t xml:space="preserve"> zdvihací stožár.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</w:t>
      </w:r>
      <w:r w:rsidR="0033559C">
        <w:rPr>
          <w:rFonts w:ascii="Arial" w:hAnsi="Arial" w:cs="Arial"/>
          <w:sz w:val="22"/>
          <w:szCs w:val="22"/>
          <w:lang w:val="cs-CZ"/>
        </w:rPr>
        <w:t>Z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dokonalený systém řízení </w:t>
      </w:r>
      <w:r w:rsidR="00C9715E">
        <w:rPr>
          <w:rFonts w:ascii="Arial" w:hAnsi="Arial" w:cs="Arial"/>
          <w:sz w:val="22"/>
          <w:szCs w:val="22"/>
          <w:lang w:val="cs-CZ"/>
        </w:rPr>
        <w:t>pojezdu u dvojitého vysokozdvižného vozíku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Linde D10 zvyšuje </w:t>
      </w:r>
      <w:r w:rsidR="00C9715E">
        <w:rPr>
          <w:rFonts w:ascii="Arial" w:hAnsi="Arial" w:cs="Arial"/>
          <w:sz w:val="22"/>
          <w:szCs w:val="22"/>
          <w:lang w:val="cs-CZ"/>
        </w:rPr>
        <w:t xml:space="preserve">přepravní 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výkon </w:t>
      </w:r>
      <w:r w:rsidR="00C9715E">
        <w:rPr>
          <w:rFonts w:ascii="Arial" w:hAnsi="Arial" w:cs="Arial"/>
          <w:sz w:val="22"/>
          <w:szCs w:val="22"/>
          <w:lang w:val="cs-CZ"/>
        </w:rPr>
        <w:t xml:space="preserve">díky </w:t>
      </w:r>
      <w:r w:rsidRPr="009A463D">
        <w:rPr>
          <w:rFonts w:ascii="Arial" w:hAnsi="Arial" w:cs="Arial"/>
          <w:sz w:val="22"/>
          <w:szCs w:val="22"/>
          <w:lang w:val="cs-CZ"/>
        </w:rPr>
        <w:t>optimalizac</w:t>
      </w:r>
      <w:r w:rsidR="00C9715E">
        <w:rPr>
          <w:rFonts w:ascii="Arial" w:hAnsi="Arial" w:cs="Arial"/>
          <w:sz w:val="22"/>
          <w:szCs w:val="22"/>
          <w:lang w:val="cs-CZ"/>
        </w:rPr>
        <w:t>i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 rychlosti pojezdu v</w:t>
      </w:r>
      <w:r w:rsidR="0033559C">
        <w:rPr>
          <w:rFonts w:ascii="Arial" w:hAnsi="Arial" w:cs="Arial"/>
          <w:sz w:val="22"/>
          <w:szCs w:val="22"/>
          <w:lang w:val="cs-CZ"/>
        </w:rPr>
        <w:t> </w:t>
      </w:r>
      <w:r w:rsidRPr="009A463D">
        <w:rPr>
          <w:rFonts w:ascii="Arial" w:hAnsi="Arial" w:cs="Arial"/>
          <w:sz w:val="22"/>
          <w:szCs w:val="22"/>
          <w:lang w:val="cs-CZ"/>
        </w:rPr>
        <w:t xml:space="preserve">závislosti na zatížení hlavního </w:t>
      </w:r>
      <w:r w:rsidR="00C9715E">
        <w:rPr>
          <w:rFonts w:ascii="Arial" w:hAnsi="Arial" w:cs="Arial"/>
          <w:sz w:val="22"/>
          <w:szCs w:val="22"/>
          <w:lang w:val="cs-CZ"/>
        </w:rPr>
        <w:t>zdvi</w:t>
      </w:r>
      <w:r w:rsidRPr="009A463D">
        <w:rPr>
          <w:rFonts w:ascii="Arial" w:hAnsi="Arial" w:cs="Arial"/>
          <w:sz w:val="22"/>
          <w:szCs w:val="22"/>
          <w:lang w:val="cs-CZ"/>
        </w:rPr>
        <w:t>hu.</w:t>
      </w:r>
      <w:r w:rsidR="008F4415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</w:p>
    <w:p w:rsidR="00B24CA2" w:rsidRPr="00B24CA2" w:rsidRDefault="00B24CA2" w:rsidP="00CD3552">
      <w:pPr>
        <w:spacing w:after="240" w:line="360" w:lineRule="auto"/>
        <w:ind w:right="986"/>
        <w:jc w:val="both"/>
        <w:rPr>
          <w:rFonts w:ascii="Arial" w:hAnsi="Arial" w:cs="Arial"/>
          <w:b/>
          <w:color w:val="000000" w:themeColor="text1"/>
          <w:sz w:val="22"/>
          <w:szCs w:val="22"/>
          <w:lang w:val="cs-CZ"/>
        </w:rPr>
      </w:pPr>
      <w:r w:rsidRPr="00B24CA2">
        <w:rPr>
          <w:rFonts w:ascii="Arial" w:hAnsi="Arial" w:cs="Arial"/>
          <w:b/>
          <w:color w:val="000000" w:themeColor="text1"/>
          <w:sz w:val="22"/>
          <w:szCs w:val="22"/>
          <w:lang w:val="cs-CZ"/>
        </w:rPr>
        <w:t>Ochrana zdraví řidiče</w:t>
      </w:r>
    </w:p>
    <w:p w:rsidR="00CD3552" w:rsidRDefault="00C02A16" w:rsidP="00CD3552">
      <w:pPr>
        <w:spacing w:after="240" w:line="360" w:lineRule="auto"/>
        <w:ind w:right="986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Pro překonání delších vzdáleností nabízí 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>Li</w:t>
      </w:r>
      <w:r w:rsidR="00CF5D05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nde své modely paletov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>ých</w:t>
      </w:r>
      <w:r w:rsidR="00CF5D05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nebo dvojit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>ých</w:t>
      </w:r>
      <w:r w:rsidR="00CF5D05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vysokozdvižných vozíků </w:t>
      </w:r>
      <w:r w:rsidR="00CF5D05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T20 AP, T25 AP a D10 AP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>, jež jsou doplněné o</w:t>
      </w:r>
      <w:r w:rsidR="00CD3552"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>stupačku pro řidiče</w:t>
      </w:r>
      <w:r w:rsidR="00CF5D05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Vozíky 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mají skl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opnou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plošin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k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u a boční ochranné 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zábran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y, které udržují řidiče v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bezpečí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uvnitř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voz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íku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.</w:t>
      </w:r>
      <w:r w:rsidR="008D60EE" w:rsidRPr="009A463D">
        <w:rPr>
          <w:lang w:val="cs-CZ"/>
        </w:rPr>
        <w:t xml:space="preserve"> 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Plošin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k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a společně s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 řídící ojkou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a</w:t>
      </w:r>
      <w:r w:rsidR="00CD3552">
        <w:rPr>
          <w:rFonts w:ascii="Arial" w:hAnsi="Arial" w:cs="Arial"/>
          <w:color w:val="000000" w:themeColor="text1"/>
          <w:sz w:val="22"/>
          <w:szCs w:val="22"/>
          <w:lang w:val="cs-CZ"/>
        </w:rPr>
        <w:t> 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bočními zábranami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tvoří jednotku, která je zcela od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tlume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na od podvozku. Tento plně 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odpruže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ný prostor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určený pro </w:t>
      </w:r>
      <w:r w:rsidR="00174842">
        <w:rPr>
          <w:rFonts w:ascii="Arial" w:hAnsi="Arial" w:cs="Arial"/>
          <w:color w:val="000000" w:themeColor="text1"/>
          <w:sz w:val="22"/>
          <w:szCs w:val="22"/>
          <w:lang w:val="cs-CZ"/>
        </w:rPr>
        <w:t>obsluhu</w:t>
      </w:r>
      <w:r w:rsidR="00F03E6F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tlumí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otřesy a vibrace způsobené nerovnými povrchy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. Řidiči jsou tak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účinně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chráněni před vznikem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nemocí z povolání, 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lastRenderedPageBreak/>
        <w:t>jako jsou například</w:t>
      </w:r>
      <w:r w:rsidR="00F03E6F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muskuloskeletální poruch</w:t>
      </w:r>
      <w:r w:rsidR="00CF5D05">
        <w:rPr>
          <w:rFonts w:ascii="Arial" w:hAnsi="Arial" w:cs="Arial"/>
          <w:color w:val="000000" w:themeColor="text1"/>
          <w:sz w:val="22"/>
          <w:szCs w:val="22"/>
          <w:lang w:val="cs-CZ"/>
        </w:rPr>
        <w:t>y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</w:t>
      </w:r>
      <w:r w:rsidR="00CD3552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Vysokou stabilitu a stálou trakci vozíků zajišťují modulární stabilizační kolečka. </w:t>
      </w:r>
    </w:p>
    <w:p w:rsidR="00B02CC2" w:rsidRDefault="0019462D" w:rsidP="00CD3552">
      <w:pPr>
        <w:spacing w:after="120"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000000" w:themeColor="text1"/>
          <w:sz w:val="22"/>
          <w:szCs w:val="22"/>
          <w:lang w:val="cs-CZ"/>
        </w:rPr>
        <w:t>P</w:t>
      </w:r>
      <w:r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otřebný výkon pro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tyto</w:t>
      </w:r>
      <w:r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vozíky poskytují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AC 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elektro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mo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tory </w:t>
      </w:r>
      <w:r w:rsidR="00C17BB8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 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výkonem 1,5 kW </w:t>
      </w:r>
      <w:r w:rsidR="00C17BB8">
        <w:rPr>
          <w:rFonts w:ascii="Arial" w:hAnsi="Arial" w:cs="Arial"/>
          <w:color w:val="000000" w:themeColor="text1"/>
          <w:sz w:val="22"/>
          <w:szCs w:val="22"/>
          <w:lang w:val="cs-CZ"/>
        </w:rPr>
        <w:br/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a 2,3 kW, které </w:t>
      </w:r>
      <w:r w:rsidR="00C17BB8">
        <w:rPr>
          <w:rFonts w:ascii="Arial" w:hAnsi="Arial" w:cs="Arial"/>
          <w:color w:val="000000" w:themeColor="text1"/>
          <w:sz w:val="22"/>
          <w:szCs w:val="22"/>
          <w:lang w:val="cs-CZ"/>
        </w:rPr>
        <w:t>u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mo</w:t>
      </w:r>
      <w:r w:rsidR="00C17BB8">
        <w:rPr>
          <w:rFonts w:ascii="Arial" w:hAnsi="Arial" w:cs="Arial"/>
          <w:color w:val="000000" w:themeColor="text1"/>
          <w:sz w:val="22"/>
          <w:szCs w:val="22"/>
          <w:lang w:val="cs-CZ"/>
        </w:rPr>
        <w:t>žňují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dosáhnout rychlost</w:t>
      </w:r>
      <w:r w:rsidR="00C17BB8">
        <w:rPr>
          <w:rFonts w:ascii="Arial" w:hAnsi="Arial" w:cs="Arial"/>
          <w:color w:val="000000" w:themeColor="text1"/>
          <w:sz w:val="22"/>
          <w:szCs w:val="22"/>
          <w:lang w:val="cs-CZ"/>
        </w:rPr>
        <w:t>i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 až 10 km/h </w:t>
      </w:r>
      <w:r w:rsidR="00C17BB8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s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plným nákladem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J</w:t>
      </w:r>
      <w:r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ako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zdroj </w:t>
      </w:r>
      <w:r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dodávky energie jsou k dispozici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>volitelně l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ithium-iontové a </w:t>
      </w:r>
      <w:r>
        <w:rPr>
          <w:rFonts w:ascii="Arial" w:hAnsi="Arial" w:cs="Arial"/>
          <w:color w:val="000000" w:themeColor="text1"/>
          <w:sz w:val="22"/>
          <w:szCs w:val="22"/>
          <w:lang w:val="cs-CZ"/>
        </w:rPr>
        <w:t xml:space="preserve">klasické </w:t>
      </w:r>
      <w:r w:rsidR="008D60EE" w:rsidRPr="009A463D">
        <w:rPr>
          <w:rFonts w:ascii="Arial" w:hAnsi="Arial" w:cs="Arial"/>
          <w:color w:val="000000" w:themeColor="text1"/>
          <w:sz w:val="22"/>
          <w:szCs w:val="22"/>
          <w:lang w:val="cs-CZ"/>
        </w:rPr>
        <w:t>olověné baterie.</w:t>
      </w:r>
      <w:r w:rsidR="008F4415" w:rsidRPr="009A463D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1E720A" w:rsidRDefault="001E720A" w:rsidP="00CD3552">
      <w:pPr>
        <w:spacing w:after="120" w:line="360" w:lineRule="auto"/>
        <w:ind w:right="987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:rsidR="00C87AAC" w:rsidRPr="009A463D" w:rsidRDefault="00C87AAC" w:rsidP="00CD3552">
      <w:pPr>
        <w:spacing w:after="120" w:line="360" w:lineRule="auto"/>
        <w:ind w:right="987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:rsidR="00093386" w:rsidRPr="009A463D" w:rsidRDefault="00093386" w:rsidP="00093386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 tisíc zaměstnanců. Celosvětové prodeje vozíků Linde v roce 2017 přesáhly 124 tis. kusů.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:rsidR="00093386" w:rsidRPr="009A463D" w:rsidRDefault="00F27EAD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1" w:history="1">
        <w:r w:rsidR="00093386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:rsidR="00093386" w:rsidRPr="009A463D" w:rsidRDefault="00093386" w:rsidP="00093386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2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:rsidR="00093386" w:rsidRPr="009A463D" w:rsidRDefault="00F27EAD" w:rsidP="00093386">
      <w:pPr>
        <w:spacing w:line="360" w:lineRule="auto"/>
        <w:jc w:val="both"/>
        <w:rPr>
          <w:rFonts w:ascii="Arial" w:hAnsi="Arial" w:cs="Arial"/>
          <w:lang w:val="cs-CZ"/>
        </w:rPr>
      </w:pPr>
      <w:hyperlink r:id="rId13" w:history="1">
        <w:r w:rsidR="00093386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:rsidR="00EF53C9" w:rsidRPr="009A463D" w:rsidRDefault="00EF53C9" w:rsidP="00093386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EF53C9" w:rsidRPr="009A463D" w:rsidSect="001E720A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AD" w:rsidRDefault="00F27EAD" w:rsidP="00FC1294">
      <w:r>
        <w:separator/>
      </w:r>
    </w:p>
  </w:endnote>
  <w:endnote w:type="continuationSeparator" w:id="0">
    <w:p w:rsidR="00F27EAD" w:rsidRDefault="00F27EAD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AD" w:rsidRDefault="00F27EAD" w:rsidP="00FC1294">
      <w:r>
        <w:separator/>
      </w:r>
    </w:p>
  </w:footnote>
  <w:footnote w:type="continuationSeparator" w:id="0">
    <w:p w:rsidR="00F27EAD" w:rsidRDefault="00F27EAD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ECB"/>
    <w:multiLevelType w:val="hybridMultilevel"/>
    <w:tmpl w:val="DEACFDE4"/>
    <w:lvl w:ilvl="0" w:tplc="CCB2657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44F9A" w:tentative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E4A02" w:tentative="1">
      <w:start w:val="1"/>
      <w:numFmt w:val="bullet"/>
      <w:lvlText w:val="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C3EC" w:tentative="1">
      <w:start w:val="1"/>
      <w:numFmt w:val="bullet"/>
      <w:lvlText w:val="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EF0E" w:tentative="1">
      <w:start w:val="1"/>
      <w:numFmt w:val="bullet"/>
      <w:lvlText w:val="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234C8" w:tentative="1">
      <w:start w:val="1"/>
      <w:numFmt w:val="bullet"/>
      <w:lvlText w:val="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8D848" w:tentative="1">
      <w:start w:val="1"/>
      <w:numFmt w:val="bullet"/>
      <w:lvlText w:val="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6D2F0" w:tentative="1">
      <w:start w:val="1"/>
      <w:numFmt w:val="bullet"/>
      <w:lvlText w:val="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8CD18" w:tentative="1">
      <w:start w:val="1"/>
      <w:numFmt w:val="bullet"/>
      <w:lvlText w:val="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153D2"/>
    <w:rsid w:val="00056FB8"/>
    <w:rsid w:val="0006337E"/>
    <w:rsid w:val="00066B1E"/>
    <w:rsid w:val="00071148"/>
    <w:rsid w:val="000722A8"/>
    <w:rsid w:val="00074869"/>
    <w:rsid w:val="00086577"/>
    <w:rsid w:val="00093386"/>
    <w:rsid w:val="000A0BB6"/>
    <w:rsid w:val="000A30E4"/>
    <w:rsid w:val="000A585A"/>
    <w:rsid w:val="000A7BFC"/>
    <w:rsid w:val="000C1121"/>
    <w:rsid w:val="000C5E76"/>
    <w:rsid w:val="000D4A07"/>
    <w:rsid w:val="000D6F7B"/>
    <w:rsid w:val="000F4EF3"/>
    <w:rsid w:val="000F7BE6"/>
    <w:rsid w:val="001001CF"/>
    <w:rsid w:val="001114B6"/>
    <w:rsid w:val="001118B1"/>
    <w:rsid w:val="00121EB5"/>
    <w:rsid w:val="001249A0"/>
    <w:rsid w:val="00126CFF"/>
    <w:rsid w:val="00137F67"/>
    <w:rsid w:val="00167680"/>
    <w:rsid w:val="001719EB"/>
    <w:rsid w:val="00174842"/>
    <w:rsid w:val="001936A5"/>
    <w:rsid w:val="0019462D"/>
    <w:rsid w:val="001B7950"/>
    <w:rsid w:val="001C2188"/>
    <w:rsid w:val="001C2774"/>
    <w:rsid w:val="001E0FAB"/>
    <w:rsid w:val="001E45B7"/>
    <w:rsid w:val="001E4EC3"/>
    <w:rsid w:val="001E720A"/>
    <w:rsid w:val="00205D54"/>
    <w:rsid w:val="00206C6F"/>
    <w:rsid w:val="00207B0B"/>
    <w:rsid w:val="00213436"/>
    <w:rsid w:val="0022562D"/>
    <w:rsid w:val="00225CB1"/>
    <w:rsid w:val="00225FE8"/>
    <w:rsid w:val="00227837"/>
    <w:rsid w:val="00231B25"/>
    <w:rsid w:val="00242B6C"/>
    <w:rsid w:val="002521ED"/>
    <w:rsid w:val="00264AD9"/>
    <w:rsid w:val="0027652A"/>
    <w:rsid w:val="00280CE4"/>
    <w:rsid w:val="00286736"/>
    <w:rsid w:val="00287599"/>
    <w:rsid w:val="00287E48"/>
    <w:rsid w:val="00296772"/>
    <w:rsid w:val="00296B95"/>
    <w:rsid w:val="002A1F93"/>
    <w:rsid w:val="002A4041"/>
    <w:rsid w:val="002A7897"/>
    <w:rsid w:val="002B6CDD"/>
    <w:rsid w:val="002C741E"/>
    <w:rsid w:val="002D03FF"/>
    <w:rsid w:val="002D3B86"/>
    <w:rsid w:val="002D46B9"/>
    <w:rsid w:val="002D47FF"/>
    <w:rsid w:val="002D5C5F"/>
    <w:rsid w:val="002D6A82"/>
    <w:rsid w:val="002F24B7"/>
    <w:rsid w:val="002F642D"/>
    <w:rsid w:val="0030241A"/>
    <w:rsid w:val="00302DC1"/>
    <w:rsid w:val="00310B1F"/>
    <w:rsid w:val="00327229"/>
    <w:rsid w:val="0033559C"/>
    <w:rsid w:val="003371FF"/>
    <w:rsid w:val="00341CB5"/>
    <w:rsid w:val="0034258D"/>
    <w:rsid w:val="003643AD"/>
    <w:rsid w:val="0037104F"/>
    <w:rsid w:val="00395907"/>
    <w:rsid w:val="003A6B4B"/>
    <w:rsid w:val="003C2814"/>
    <w:rsid w:val="003C39B6"/>
    <w:rsid w:val="003C41B1"/>
    <w:rsid w:val="003C7C00"/>
    <w:rsid w:val="004033FA"/>
    <w:rsid w:val="00411C02"/>
    <w:rsid w:val="0041267E"/>
    <w:rsid w:val="004161C7"/>
    <w:rsid w:val="004164AD"/>
    <w:rsid w:val="00417093"/>
    <w:rsid w:val="00423F47"/>
    <w:rsid w:val="004351B9"/>
    <w:rsid w:val="00441DB1"/>
    <w:rsid w:val="004421BB"/>
    <w:rsid w:val="00445FDB"/>
    <w:rsid w:val="004511AD"/>
    <w:rsid w:val="00452003"/>
    <w:rsid w:val="00474392"/>
    <w:rsid w:val="00490D6D"/>
    <w:rsid w:val="00495400"/>
    <w:rsid w:val="004B5533"/>
    <w:rsid w:val="004C258B"/>
    <w:rsid w:val="004D45D6"/>
    <w:rsid w:val="004D5442"/>
    <w:rsid w:val="004D750F"/>
    <w:rsid w:val="004D7D8E"/>
    <w:rsid w:val="004E5C32"/>
    <w:rsid w:val="004F62EC"/>
    <w:rsid w:val="00500340"/>
    <w:rsid w:val="00523C97"/>
    <w:rsid w:val="00530FA4"/>
    <w:rsid w:val="005311E9"/>
    <w:rsid w:val="00553517"/>
    <w:rsid w:val="005555B7"/>
    <w:rsid w:val="005729B4"/>
    <w:rsid w:val="005872A6"/>
    <w:rsid w:val="00591241"/>
    <w:rsid w:val="005A1582"/>
    <w:rsid w:val="005A190E"/>
    <w:rsid w:val="005B5C85"/>
    <w:rsid w:val="005C0AFC"/>
    <w:rsid w:val="005C4A4F"/>
    <w:rsid w:val="005D023C"/>
    <w:rsid w:val="005E62BD"/>
    <w:rsid w:val="00600643"/>
    <w:rsid w:val="0060758C"/>
    <w:rsid w:val="00607FE8"/>
    <w:rsid w:val="00614C49"/>
    <w:rsid w:val="006160E4"/>
    <w:rsid w:val="00646E85"/>
    <w:rsid w:val="00650F9E"/>
    <w:rsid w:val="0065485B"/>
    <w:rsid w:val="00660588"/>
    <w:rsid w:val="0066366B"/>
    <w:rsid w:val="00664E7D"/>
    <w:rsid w:val="00665C45"/>
    <w:rsid w:val="006663BD"/>
    <w:rsid w:val="006815BF"/>
    <w:rsid w:val="00691666"/>
    <w:rsid w:val="006A2F49"/>
    <w:rsid w:val="006A419E"/>
    <w:rsid w:val="006A508E"/>
    <w:rsid w:val="006B3A1E"/>
    <w:rsid w:val="006B4C05"/>
    <w:rsid w:val="006C3490"/>
    <w:rsid w:val="006D52B6"/>
    <w:rsid w:val="006F064C"/>
    <w:rsid w:val="006F6507"/>
    <w:rsid w:val="006F6787"/>
    <w:rsid w:val="00701926"/>
    <w:rsid w:val="00702345"/>
    <w:rsid w:val="007035B7"/>
    <w:rsid w:val="00710B0D"/>
    <w:rsid w:val="007170E8"/>
    <w:rsid w:val="007241EC"/>
    <w:rsid w:val="00726F5C"/>
    <w:rsid w:val="00745BA5"/>
    <w:rsid w:val="0074667F"/>
    <w:rsid w:val="0078384D"/>
    <w:rsid w:val="007847A9"/>
    <w:rsid w:val="007A7DA5"/>
    <w:rsid w:val="007B0242"/>
    <w:rsid w:val="007B2466"/>
    <w:rsid w:val="007B65C7"/>
    <w:rsid w:val="008035DF"/>
    <w:rsid w:val="00804F3B"/>
    <w:rsid w:val="008155C0"/>
    <w:rsid w:val="00822F68"/>
    <w:rsid w:val="00832731"/>
    <w:rsid w:val="00832A47"/>
    <w:rsid w:val="008552A1"/>
    <w:rsid w:val="00860A5A"/>
    <w:rsid w:val="00863235"/>
    <w:rsid w:val="00874448"/>
    <w:rsid w:val="00886CF1"/>
    <w:rsid w:val="0089005C"/>
    <w:rsid w:val="00890BB1"/>
    <w:rsid w:val="008925A2"/>
    <w:rsid w:val="00892DF6"/>
    <w:rsid w:val="00893B00"/>
    <w:rsid w:val="00895C9B"/>
    <w:rsid w:val="008A5446"/>
    <w:rsid w:val="008B5DE9"/>
    <w:rsid w:val="008B7EAB"/>
    <w:rsid w:val="008C114C"/>
    <w:rsid w:val="008C2801"/>
    <w:rsid w:val="008C2B3A"/>
    <w:rsid w:val="008D4010"/>
    <w:rsid w:val="008D60EE"/>
    <w:rsid w:val="008E2886"/>
    <w:rsid w:val="008F39E8"/>
    <w:rsid w:val="008F4415"/>
    <w:rsid w:val="009057A3"/>
    <w:rsid w:val="009079D8"/>
    <w:rsid w:val="0091641F"/>
    <w:rsid w:val="009226AC"/>
    <w:rsid w:val="009233AD"/>
    <w:rsid w:val="009240CE"/>
    <w:rsid w:val="00927C7E"/>
    <w:rsid w:val="0093568E"/>
    <w:rsid w:val="00936E99"/>
    <w:rsid w:val="009536D6"/>
    <w:rsid w:val="009739D7"/>
    <w:rsid w:val="00975F8A"/>
    <w:rsid w:val="0098092F"/>
    <w:rsid w:val="00987D2B"/>
    <w:rsid w:val="00991250"/>
    <w:rsid w:val="009A463D"/>
    <w:rsid w:val="009A6BE5"/>
    <w:rsid w:val="009A6D59"/>
    <w:rsid w:val="009B191D"/>
    <w:rsid w:val="009B340E"/>
    <w:rsid w:val="009B7CB1"/>
    <w:rsid w:val="009D6726"/>
    <w:rsid w:val="009E0928"/>
    <w:rsid w:val="009E44E3"/>
    <w:rsid w:val="009E4DD2"/>
    <w:rsid w:val="009F6E22"/>
    <w:rsid w:val="00A04F17"/>
    <w:rsid w:val="00A268E2"/>
    <w:rsid w:val="00A31461"/>
    <w:rsid w:val="00A37C40"/>
    <w:rsid w:val="00A45EE5"/>
    <w:rsid w:val="00A50A17"/>
    <w:rsid w:val="00A513D1"/>
    <w:rsid w:val="00A551F9"/>
    <w:rsid w:val="00A61F4A"/>
    <w:rsid w:val="00A64DC2"/>
    <w:rsid w:val="00A64E0F"/>
    <w:rsid w:val="00A65FD1"/>
    <w:rsid w:val="00A70327"/>
    <w:rsid w:val="00A71EED"/>
    <w:rsid w:val="00A7493F"/>
    <w:rsid w:val="00A76704"/>
    <w:rsid w:val="00A83EA6"/>
    <w:rsid w:val="00A855C7"/>
    <w:rsid w:val="00A95582"/>
    <w:rsid w:val="00AA0D28"/>
    <w:rsid w:val="00AA1E92"/>
    <w:rsid w:val="00AA28E0"/>
    <w:rsid w:val="00AA4906"/>
    <w:rsid w:val="00AB2B6F"/>
    <w:rsid w:val="00AB44A1"/>
    <w:rsid w:val="00AB682D"/>
    <w:rsid w:val="00AC7D3E"/>
    <w:rsid w:val="00AD78E6"/>
    <w:rsid w:val="00AE031B"/>
    <w:rsid w:val="00AE09E5"/>
    <w:rsid w:val="00AE0CE7"/>
    <w:rsid w:val="00AE65B7"/>
    <w:rsid w:val="00AF121A"/>
    <w:rsid w:val="00B02CC2"/>
    <w:rsid w:val="00B12484"/>
    <w:rsid w:val="00B12B24"/>
    <w:rsid w:val="00B14A26"/>
    <w:rsid w:val="00B168D5"/>
    <w:rsid w:val="00B203D6"/>
    <w:rsid w:val="00B24CA2"/>
    <w:rsid w:val="00B3208A"/>
    <w:rsid w:val="00B35885"/>
    <w:rsid w:val="00B359E7"/>
    <w:rsid w:val="00B370E3"/>
    <w:rsid w:val="00B57785"/>
    <w:rsid w:val="00B625DB"/>
    <w:rsid w:val="00B629C0"/>
    <w:rsid w:val="00B76666"/>
    <w:rsid w:val="00B8324A"/>
    <w:rsid w:val="00B90E00"/>
    <w:rsid w:val="00B93D8E"/>
    <w:rsid w:val="00B96886"/>
    <w:rsid w:val="00BA5B5E"/>
    <w:rsid w:val="00BB2B0E"/>
    <w:rsid w:val="00BB4B4B"/>
    <w:rsid w:val="00BD40C4"/>
    <w:rsid w:val="00BD5688"/>
    <w:rsid w:val="00BE08D5"/>
    <w:rsid w:val="00BE1147"/>
    <w:rsid w:val="00BE1771"/>
    <w:rsid w:val="00BF1465"/>
    <w:rsid w:val="00C01E9E"/>
    <w:rsid w:val="00C02A16"/>
    <w:rsid w:val="00C0574D"/>
    <w:rsid w:val="00C06548"/>
    <w:rsid w:val="00C15F1E"/>
    <w:rsid w:val="00C17BB8"/>
    <w:rsid w:val="00C2038E"/>
    <w:rsid w:val="00C2175F"/>
    <w:rsid w:val="00C22857"/>
    <w:rsid w:val="00C236A6"/>
    <w:rsid w:val="00C250BE"/>
    <w:rsid w:val="00C25B9F"/>
    <w:rsid w:val="00C25CD1"/>
    <w:rsid w:val="00C2713A"/>
    <w:rsid w:val="00C325A4"/>
    <w:rsid w:val="00C33F11"/>
    <w:rsid w:val="00C54C63"/>
    <w:rsid w:val="00C72210"/>
    <w:rsid w:val="00C7548E"/>
    <w:rsid w:val="00C81828"/>
    <w:rsid w:val="00C81BC4"/>
    <w:rsid w:val="00C87AAC"/>
    <w:rsid w:val="00C87F6C"/>
    <w:rsid w:val="00C9334B"/>
    <w:rsid w:val="00C955C3"/>
    <w:rsid w:val="00C9715E"/>
    <w:rsid w:val="00C973AA"/>
    <w:rsid w:val="00CA78BE"/>
    <w:rsid w:val="00CB2BC0"/>
    <w:rsid w:val="00CD008D"/>
    <w:rsid w:val="00CD0AB5"/>
    <w:rsid w:val="00CD3552"/>
    <w:rsid w:val="00CD54F6"/>
    <w:rsid w:val="00CD7442"/>
    <w:rsid w:val="00CE1F0E"/>
    <w:rsid w:val="00CE3460"/>
    <w:rsid w:val="00CE3AB6"/>
    <w:rsid w:val="00CF345E"/>
    <w:rsid w:val="00CF5D05"/>
    <w:rsid w:val="00D05BF7"/>
    <w:rsid w:val="00D122B9"/>
    <w:rsid w:val="00D13062"/>
    <w:rsid w:val="00D16107"/>
    <w:rsid w:val="00D16C67"/>
    <w:rsid w:val="00D32714"/>
    <w:rsid w:val="00D34F20"/>
    <w:rsid w:val="00D40242"/>
    <w:rsid w:val="00D43589"/>
    <w:rsid w:val="00D50706"/>
    <w:rsid w:val="00D5159A"/>
    <w:rsid w:val="00D565D2"/>
    <w:rsid w:val="00D567F3"/>
    <w:rsid w:val="00D62607"/>
    <w:rsid w:val="00D91878"/>
    <w:rsid w:val="00DB031F"/>
    <w:rsid w:val="00DB1E75"/>
    <w:rsid w:val="00DC1F69"/>
    <w:rsid w:val="00DC40D1"/>
    <w:rsid w:val="00DD60B3"/>
    <w:rsid w:val="00DD648D"/>
    <w:rsid w:val="00E04885"/>
    <w:rsid w:val="00E06308"/>
    <w:rsid w:val="00E07B4D"/>
    <w:rsid w:val="00E22F23"/>
    <w:rsid w:val="00E25BA0"/>
    <w:rsid w:val="00E25F90"/>
    <w:rsid w:val="00E306C1"/>
    <w:rsid w:val="00E31917"/>
    <w:rsid w:val="00E34CE3"/>
    <w:rsid w:val="00E40573"/>
    <w:rsid w:val="00E51C6E"/>
    <w:rsid w:val="00E54709"/>
    <w:rsid w:val="00E67109"/>
    <w:rsid w:val="00E67538"/>
    <w:rsid w:val="00E70FE7"/>
    <w:rsid w:val="00E727AA"/>
    <w:rsid w:val="00E72AFB"/>
    <w:rsid w:val="00E77A6C"/>
    <w:rsid w:val="00E860E2"/>
    <w:rsid w:val="00E94579"/>
    <w:rsid w:val="00EA02F9"/>
    <w:rsid w:val="00EA5687"/>
    <w:rsid w:val="00EB5CC4"/>
    <w:rsid w:val="00EC1DD3"/>
    <w:rsid w:val="00ED1F80"/>
    <w:rsid w:val="00ED292B"/>
    <w:rsid w:val="00EE63D0"/>
    <w:rsid w:val="00EF53C9"/>
    <w:rsid w:val="00F03E6F"/>
    <w:rsid w:val="00F05E2B"/>
    <w:rsid w:val="00F159A2"/>
    <w:rsid w:val="00F23E51"/>
    <w:rsid w:val="00F269BB"/>
    <w:rsid w:val="00F27EAD"/>
    <w:rsid w:val="00F3283E"/>
    <w:rsid w:val="00F35C7A"/>
    <w:rsid w:val="00F363AB"/>
    <w:rsid w:val="00F43C25"/>
    <w:rsid w:val="00F5089A"/>
    <w:rsid w:val="00F5772E"/>
    <w:rsid w:val="00F649EC"/>
    <w:rsid w:val="00F772FD"/>
    <w:rsid w:val="00F8432C"/>
    <w:rsid w:val="00F85839"/>
    <w:rsid w:val="00F950B1"/>
    <w:rsid w:val="00FA1B8C"/>
    <w:rsid w:val="00FB3BD6"/>
    <w:rsid w:val="00FC1294"/>
    <w:rsid w:val="00FE0049"/>
    <w:rsid w:val="00FE5D0E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01D3A3-E342-4A3B-B66F-2494E7A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EF5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1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6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7721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707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12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4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6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554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4655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1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824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74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001E-9BEB-4844-8588-EA952644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7" baseType="lpstr">
      <vt:lpstr/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Markéta Damková</cp:lastModifiedBy>
  <cp:revision>3</cp:revision>
  <cp:lastPrinted>2018-12-17T08:26:00Z</cp:lastPrinted>
  <dcterms:created xsi:type="dcterms:W3CDTF">2018-12-17T08:30:00Z</dcterms:created>
  <dcterms:modified xsi:type="dcterms:W3CDTF">2018-12-18T12:34:00Z</dcterms:modified>
</cp:coreProperties>
</file>