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77777777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D68BBAD" wp14:editId="5D68BBAE">
            <wp:extent cx="2438400" cy="714375"/>
            <wp:effectExtent l="0" t="0" r="0" b="0"/>
            <wp:docPr id="1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zeitgeist.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70F4AA31" w14:textId="3EEEFB81" w:rsidR="00D6036F" w:rsidRPr="00FD266D" w:rsidRDefault="00D6036F" w:rsidP="00D6036F">
      <w:pPr>
        <w:pStyle w:val="Nzev"/>
        <w:jc w:val="both"/>
        <w:rPr>
          <w:caps/>
          <w:sz w:val="48"/>
          <w:szCs w:val="48"/>
        </w:rPr>
      </w:pPr>
      <w:bookmarkStart w:id="0" w:name="_GoBack"/>
      <w:bookmarkEnd w:id="0"/>
      <w:r w:rsidRPr="00FD266D">
        <w:rPr>
          <w:caps/>
          <w:sz w:val="48"/>
          <w:szCs w:val="48"/>
        </w:rPr>
        <w:t xml:space="preserve">Bytová krize </w:t>
      </w:r>
      <w:r>
        <w:rPr>
          <w:caps/>
          <w:sz w:val="48"/>
          <w:szCs w:val="48"/>
        </w:rPr>
        <w:t xml:space="preserve">NUTÍ MLADÉ ŽÍT déle </w:t>
      </w:r>
      <w:r w:rsidR="004E2C33">
        <w:rPr>
          <w:caps/>
          <w:sz w:val="48"/>
          <w:szCs w:val="48"/>
        </w:rPr>
        <w:t xml:space="preserve">u </w:t>
      </w:r>
      <w:r>
        <w:rPr>
          <w:caps/>
          <w:sz w:val="48"/>
          <w:szCs w:val="48"/>
        </w:rPr>
        <w:t xml:space="preserve">rodičů. </w:t>
      </w:r>
      <w:r w:rsidR="004E2C33">
        <w:rPr>
          <w:caps/>
          <w:sz w:val="48"/>
          <w:szCs w:val="48"/>
        </w:rPr>
        <w:t xml:space="preserve">řešením JE </w:t>
      </w:r>
      <w:r>
        <w:rPr>
          <w:caps/>
          <w:sz w:val="48"/>
          <w:szCs w:val="48"/>
        </w:rPr>
        <w:t xml:space="preserve">nájemní bydlení </w:t>
      </w:r>
    </w:p>
    <w:p w14:paraId="5D68BB8D" w14:textId="35915D6F" w:rsidR="00474AC3" w:rsidRDefault="0060251F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4C2C04">
        <w:rPr>
          <w:rFonts w:ascii="Arial" w:eastAsia="Arial Unicode MS" w:hAnsi="Arial" w:cs="Arial"/>
          <w:color w:val="000000"/>
          <w:sz w:val="20"/>
          <w:szCs w:val="20"/>
          <w:u w:color="000000"/>
        </w:rPr>
        <w:t>26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96410A">
        <w:rPr>
          <w:rFonts w:ascii="Arial" w:eastAsia="Arial Unicode MS" w:hAnsi="Arial" w:cs="Arial"/>
          <w:color w:val="000000"/>
          <w:sz w:val="20"/>
          <w:szCs w:val="20"/>
          <w:u w:color="000000"/>
        </w:rPr>
        <w:t>června</w:t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201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>9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00667304" w14:textId="0F620E72" w:rsidR="003C428C" w:rsidRDefault="006E4081" w:rsidP="006E4081">
      <w:pPr>
        <w:suppressAutoHyphens w:val="0"/>
        <w:spacing w:after="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Z nedávno zveřejněných demografických údajů </w:t>
      </w:r>
      <w:r w:rsidR="00092920">
        <w:rPr>
          <w:rFonts w:ascii="Arial" w:eastAsia="Calibri" w:hAnsi="Arial" w:cs="Arial"/>
          <w:b/>
        </w:rPr>
        <w:t>S</w:t>
      </w:r>
      <w:r>
        <w:rPr>
          <w:rFonts w:ascii="Arial" w:eastAsia="Calibri" w:hAnsi="Arial" w:cs="Arial"/>
          <w:b/>
        </w:rPr>
        <w:t xml:space="preserve">tatistického úřadu </w:t>
      </w:r>
      <w:r w:rsidR="00092920">
        <w:rPr>
          <w:rFonts w:ascii="Arial" w:eastAsia="Calibri" w:hAnsi="Arial" w:cs="Arial"/>
          <w:b/>
        </w:rPr>
        <w:t>EU (</w:t>
      </w:r>
      <w:r>
        <w:rPr>
          <w:rFonts w:ascii="Arial" w:eastAsia="Calibri" w:hAnsi="Arial" w:cs="Arial"/>
          <w:b/>
        </w:rPr>
        <w:t>Eurostat</w:t>
      </w:r>
      <w:r w:rsidR="00092920">
        <w:rPr>
          <w:rFonts w:ascii="Arial" w:eastAsia="Calibri" w:hAnsi="Arial" w:cs="Arial"/>
          <w:b/>
        </w:rPr>
        <w:t>)</w:t>
      </w:r>
      <w:r>
        <w:rPr>
          <w:rFonts w:ascii="Arial" w:eastAsia="Calibri" w:hAnsi="Arial" w:cs="Arial"/>
          <w:b/>
        </w:rPr>
        <w:t xml:space="preserve"> vyplývá znepokojující </w:t>
      </w:r>
      <w:r w:rsidR="00942780">
        <w:rPr>
          <w:rFonts w:ascii="Arial" w:eastAsia="Calibri" w:hAnsi="Arial" w:cs="Arial"/>
          <w:b/>
        </w:rPr>
        <w:t>zjiště</w:t>
      </w:r>
      <w:r>
        <w:rPr>
          <w:rFonts w:ascii="Arial" w:eastAsia="Calibri" w:hAnsi="Arial" w:cs="Arial"/>
          <w:b/>
        </w:rPr>
        <w:t xml:space="preserve">ní. </w:t>
      </w:r>
      <w:r>
        <w:rPr>
          <w:rFonts w:ascii="Arial" w:hAnsi="Arial" w:cs="Arial"/>
          <w:b/>
        </w:rPr>
        <w:t>Ve věku od 25 do 34 let žije ve společné domácnosti s rodiči 28,5 % Evropanů</w:t>
      </w:r>
      <w:r w:rsidR="007204C2">
        <w:rPr>
          <w:rFonts w:ascii="Arial" w:hAnsi="Arial" w:cs="Arial"/>
          <w:b/>
        </w:rPr>
        <w:t xml:space="preserve">. </w:t>
      </w:r>
      <w:r w:rsidR="0068591F">
        <w:rPr>
          <w:rFonts w:ascii="Arial" w:hAnsi="Arial" w:cs="Arial"/>
          <w:b/>
        </w:rPr>
        <w:t>V</w:t>
      </w:r>
      <w:r w:rsidR="007204C2">
        <w:rPr>
          <w:rFonts w:ascii="Arial" w:hAnsi="Arial" w:cs="Arial"/>
          <w:b/>
        </w:rPr>
        <w:t xml:space="preserve"> Česku je to </w:t>
      </w:r>
      <w:r w:rsidR="0068591F">
        <w:rPr>
          <w:rFonts w:ascii="Arial" w:hAnsi="Arial" w:cs="Arial"/>
          <w:b/>
        </w:rPr>
        <w:t>ještě více:</w:t>
      </w:r>
      <w:r w:rsidR="006125EE">
        <w:rPr>
          <w:rFonts w:ascii="Arial" w:hAnsi="Arial" w:cs="Arial"/>
          <w:b/>
        </w:rPr>
        <w:t xml:space="preserve"> </w:t>
      </w:r>
      <w:r w:rsidR="007204C2">
        <w:rPr>
          <w:rFonts w:ascii="Arial" w:hAnsi="Arial" w:cs="Arial"/>
          <w:b/>
        </w:rPr>
        <w:t>32 %</w:t>
      </w:r>
      <w:r w:rsidR="00C41299">
        <w:rPr>
          <w:rFonts w:ascii="Arial" w:hAnsi="Arial" w:cs="Arial"/>
          <w:b/>
        </w:rPr>
        <w:t>. V</w:t>
      </w:r>
      <w:r w:rsidR="00906A28">
        <w:rPr>
          <w:rFonts w:ascii="Arial" w:hAnsi="Arial" w:cs="Arial"/>
          <w:b/>
        </w:rPr>
        <w:t xml:space="preserve"> Řecku, </w:t>
      </w:r>
      <w:r w:rsidR="00AD7166">
        <w:rPr>
          <w:rFonts w:ascii="Arial" w:hAnsi="Arial" w:cs="Arial"/>
          <w:b/>
        </w:rPr>
        <w:t xml:space="preserve">na </w:t>
      </w:r>
      <w:r w:rsidR="00906A28">
        <w:rPr>
          <w:rFonts w:ascii="Arial" w:hAnsi="Arial" w:cs="Arial"/>
          <w:b/>
        </w:rPr>
        <w:t>Slovensku a</w:t>
      </w:r>
      <w:r w:rsidR="00495260">
        <w:rPr>
          <w:rFonts w:ascii="Arial" w:hAnsi="Arial" w:cs="Arial"/>
          <w:b/>
        </w:rPr>
        <w:t> </w:t>
      </w:r>
      <w:r w:rsidR="00AD7166">
        <w:rPr>
          <w:rFonts w:ascii="Arial" w:hAnsi="Arial" w:cs="Arial"/>
          <w:b/>
        </w:rPr>
        <w:t>v</w:t>
      </w:r>
      <w:r w:rsidR="00495260">
        <w:rPr>
          <w:rFonts w:ascii="Arial" w:hAnsi="Arial" w:cs="Arial"/>
          <w:b/>
        </w:rPr>
        <w:t> </w:t>
      </w:r>
      <w:r w:rsidR="00906A28">
        <w:rPr>
          <w:rFonts w:ascii="Arial" w:hAnsi="Arial" w:cs="Arial"/>
          <w:b/>
        </w:rPr>
        <w:t>Chorvatsku tento podíl dokonce atakuje hranici 60 %. Průměrný věk</w:t>
      </w:r>
      <w:r w:rsidR="00305C9B">
        <w:rPr>
          <w:rFonts w:ascii="Arial" w:hAnsi="Arial" w:cs="Arial"/>
          <w:b/>
        </w:rPr>
        <w:t>, kdy</w:t>
      </w:r>
      <w:r w:rsidR="00906A28">
        <w:rPr>
          <w:rFonts w:ascii="Arial" w:hAnsi="Arial" w:cs="Arial"/>
          <w:b/>
        </w:rPr>
        <w:t xml:space="preserve"> mlad</w:t>
      </w:r>
      <w:r w:rsidR="00305C9B">
        <w:rPr>
          <w:rFonts w:ascii="Arial" w:hAnsi="Arial" w:cs="Arial"/>
          <w:b/>
        </w:rPr>
        <w:t>í</w:t>
      </w:r>
      <w:r w:rsidR="00906A28">
        <w:rPr>
          <w:rFonts w:ascii="Arial" w:hAnsi="Arial" w:cs="Arial"/>
          <w:b/>
        </w:rPr>
        <w:t xml:space="preserve"> Če</w:t>
      </w:r>
      <w:r w:rsidR="00305C9B">
        <w:rPr>
          <w:rFonts w:ascii="Arial" w:hAnsi="Arial" w:cs="Arial"/>
          <w:b/>
        </w:rPr>
        <w:t>ši</w:t>
      </w:r>
      <w:r w:rsidR="00906A28">
        <w:rPr>
          <w:rFonts w:ascii="Arial" w:hAnsi="Arial" w:cs="Arial"/>
          <w:b/>
        </w:rPr>
        <w:t xml:space="preserve"> opo</w:t>
      </w:r>
      <w:r w:rsidR="00984707">
        <w:rPr>
          <w:rFonts w:ascii="Arial" w:hAnsi="Arial" w:cs="Arial"/>
          <w:b/>
        </w:rPr>
        <w:t>ušt</w:t>
      </w:r>
      <w:r w:rsidR="00305C9B">
        <w:rPr>
          <w:rFonts w:ascii="Arial" w:hAnsi="Arial" w:cs="Arial"/>
          <w:b/>
        </w:rPr>
        <w:t>ějí</w:t>
      </w:r>
      <w:r w:rsidR="00984707">
        <w:rPr>
          <w:rFonts w:ascii="Arial" w:hAnsi="Arial" w:cs="Arial"/>
          <w:b/>
        </w:rPr>
        <w:t xml:space="preserve"> domácnost </w:t>
      </w:r>
      <w:r w:rsidR="00305C9B">
        <w:rPr>
          <w:rFonts w:ascii="Arial" w:hAnsi="Arial" w:cs="Arial"/>
          <w:b/>
        </w:rPr>
        <w:t xml:space="preserve">svých </w:t>
      </w:r>
      <w:r w:rsidR="00984707">
        <w:rPr>
          <w:rFonts w:ascii="Arial" w:hAnsi="Arial" w:cs="Arial"/>
          <w:b/>
        </w:rPr>
        <w:t xml:space="preserve">rodičů, je 26,2. </w:t>
      </w:r>
      <w:r w:rsidR="007204C2">
        <w:rPr>
          <w:rFonts w:ascii="Arial" w:hAnsi="Arial" w:cs="Arial"/>
          <w:b/>
        </w:rPr>
        <w:t>Toto číslo je lehce za evropským průměrem</w:t>
      </w:r>
      <w:r w:rsidR="00984707">
        <w:rPr>
          <w:rFonts w:ascii="Arial" w:hAnsi="Arial" w:cs="Arial"/>
          <w:b/>
        </w:rPr>
        <w:t xml:space="preserve"> (26), který vychází </w:t>
      </w:r>
      <w:r w:rsidR="00D130C9">
        <w:rPr>
          <w:rFonts w:ascii="Arial" w:hAnsi="Arial" w:cs="Arial"/>
          <w:b/>
        </w:rPr>
        <w:t xml:space="preserve">z dat </w:t>
      </w:r>
      <w:r w:rsidR="00231E61">
        <w:rPr>
          <w:rFonts w:ascii="Arial" w:hAnsi="Arial" w:cs="Arial"/>
          <w:b/>
        </w:rPr>
        <w:t>28</w:t>
      </w:r>
      <w:r w:rsidR="007204C2">
        <w:rPr>
          <w:rFonts w:ascii="Arial" w:hAnsi="Arial" w:cs="Arial"/>
          <w:b/>
        </w:rPr>
        <w:t xml:space="preserve"> členských států </w:t>
      </w:r>
      <w:r w:rsidR="00AD7166">
        <w:rPr>
          <w:rFonts w:ascii="Arial" w:hAnsi="Arial" w:cs="Arial"/>
          <w:b/>
        </w:rPr>
        <w:t>Evropské unie</w:t>
      </w:r>
      <w:r w:rsidR="007204C2">
        <w:rPr>
          <w:rFonts w:ascii="Arial" w:hAnsi="Arial" w:cs="Arial"/>
          <w:b/>
        </w:rPr>
        <w:t xml:space="preserve">. </w:t>
      </w:r>
      <w:r w:rsidR="003C428C" w:rsidRPr="00EF2AB6">
        <w:rPr>
          <w:rFonts w:ascii="Arial" w:hAnsi="Arial" w:cs="Arial"/>
          <w:b/>
        </w:rPr>
        <w:t>Přestože se na první pohled může zdát, že generace mileniálů</w:t>
      </w:r>
      <w:r w:rsidR="003C428C">
        <w:rPr>
          <w:rFonts w:ascii="Arial" w:hAnsi="Arial" w:cs="Arial"/>
          <w:b/>
        </w:rPr>
        <w:t xml:space="preserve"> narozených po roce 1982</w:t>
      </w:r>
      <w:r w:rsidR="003C428C" w:rsidRPr="00EF2AB6">
        <w:rPr>
          <w:rFonts w:ascii="Arial" w:hAnsi="Arial" w:cs="Arial"/>
          <w:b/>
        </w:rPr>
        <w:t xml:space="preserve"> odmítá dospět a ráda využívá výhod tzv. mamma</w:t>
      </w:r>
      <w:r w:rsidR="003C428C">
        <w:rPr>
          <w:rFonts w:ascii="Arial" w:hAnsi="Arial" w:cs="Arial"/>
          <w:b/>
        </w:rPr>
        <w:t xml:space="preserve"> hotelu, </w:t>
      </w:r>
      <w:r w:rsidR="004F6F47">
        <w:rPr>
          <w:rFonts w:ascii="Arial" w:hAnsi="Arial" w:cs="Arial"/>
          <w:b/>
        </w:rPr>
        <w:t>realita</w:t>
      </w:r>
      <w:r w:rsidR="00984707">
        <w:rPr>
          <w:rFonts w:ascii="Arial" w:hAnsi="Arial" w:cs="Arial"/>
          <w:b/>
        </w:rPr>
        <w:t xml:space="preserve"> </w:t>
      </w:r>
      <w:r w:rsidR="003C428C">
        <w:rPr>
          <w:rFonts w:ascii="Arial" w:hAnsi="Arial" w:cs="Arial"/>
          <w:b/>
        </w:rPr>
        <w:t xml:space="preserve">je </w:t>
      </w:r>
      <w:r w:rsidR="00D130C9">
        <w:rPr>
          <w:rFonts w:ascii="Arial" w:hAnsi="Arial" w:cs="Arial"/>
          <w:b/>
        </w:rPr>
        <w:t xml:space="preserve">mnohem </w:t>
      </w:r>
      <w:r w:rsidR="00984707">
        <w:rPr>
          <w:rFonts w:ascii="Arial" w:hAnsi="Arial" w:cs="Arial"/>
          <w:b/>
        </w:rPr>
        <w:t>komplikovanější</w:t>
      </w:r>
      <w:r w:rsidR="003C428C">
        <w:rPr>
          <w:rFonts w:ascii="Arial" w:hAnsi="Arial" w:cs="Arial"/>
          <w:b/>
        </w:rPr>
        <w:t xml:space="preserve">. Podle </w:t>
      </w:r>
      <w:r w:rsidR="00F1142B">
        <w:rPr>
          <w:rFonts w:ascii="Arial" w:hAnsi="Arial" w:cs="Arial"/>
          <w:b/>
        </w:rPr>
        <w:t xml:space="preserve">společnosti </w:t>
      </w:r>
      <w:r w:rsidR="003C428C" w:rsidRPr="003C428C">
        <w:rPr>
          <w:rFonts w:ascii="Arial" w:hAnsi="Arial" w:cs="Arial"/>
          <w:b/>
        </w:rPr>
        <w:t xml:space="preserve">Zeitgeist Asset Management </w:t>
      </w:r>
      <w:r w:rsidR="003C428C">
        <w:rPr>
          <w:rFonts w:ascii="Arial" w:hAnsi="Arial" w:cs="Arial"/>
          <w:b/>
        </w:rPr>
        <w:t>spíše</w:t>
      </w:r>
      <w:r w:rsidR="008D139E">
        <w:rPr>
          <w:rFonts w:ascii="Arial" w:hAnsi="Arial" w:cs="Arial"/>
          <w:b/>
        </w:rPr>
        <w:t xml:space="preserve"> vypovíd</w:t>
      </w:r>
      <w:r w:rsidR="00AD7166">
        <w:rPr>
          <w:rFonts w:ascii="Arial" w:hAnsi="Arial" w:cs="Arial"/>
          <w:b/>
        </w:rPr>
        <w:t xml:space="preserve">á </w:t>
      </w:r>
      <w:r w:rsidR="008D139E">
        <w:rPr>
          <w:rFonts w:ascii="Arial" w:hAnsi="Arial" w:cs="Arial"/>
          <w:b/>
        </w:rPr>
        <w:t>o</w:t>
      </w:r>
      <w:r w:rsidR="00495260">
        <w:rPr>
          <w:rFonts w:ascii="Arial" w:hAnsi="Arial" w:cs="Arial"/>
          <w:b/>
        </w:rPr>
        <w:t> </w:t>
      </w:r>
      <w:r w:rsidR="003C428C">
        <w:rPr>
          <w:rFonts w:ascii="Arial" w:hAnsi="Arial" w:cs="Arial"/>
          <w:b/>
        </w:rPr>
        <w:t xml:space="preserve">ekonomické kondici </w:t>
      </w:r>
      <w:r w:rsidR="00AD7166">
        <w:rPr>
          <w:rFonts w:ascii="Arial" w:hAnsi="Arial" w:cs="Arial"/>
          <w:b/>
        </w:rPr>
        <w:t>jednotlivých evropských států</w:t>
      </w:r>
      <w:r w:rsidR="001746FC">
        <w:rPr>
          <w:rFonts w:ascii="Arial" w:hAnsi="Arial" w:cs="Arial"/>
          <w:b/>
        </w:rPr>
        <w:t xml:space="preserve">, </w:t>
      </w:r>
      <w:r w:rsidR="008D139E">
        <w:rPr>
          <w:rFonts w:ascii="Arial" w:hAnsi="Arial" w:cs="Arial"/>
          <w:b/>
        </w:rPr>
        <w:t>a</w:t>
      </w:r>
      <w:r w:rsidR="003C428C">
        <w:rPr>
          <w:rFonts w:ascii="Arial" w:hAnsi="Arial" w:cs="Arial"/>
          <w:b/>
        </w:rPr>
        <w:t xml:space="preserve"> </w:t>
      </w:r>
      <w:r w:rsidR="00AD7166">
        <w:rPr>
          <w:rFonts w:ascii="Arial" w:hAnsi="Arial" w:cs="Arial"/>
          <w:b/>
        </w:rPr>
        <w:t xml:space="preserve">především </w:t>
      </w:r>
      <w:r w:rsidR="001746FC">
        <w:rPr>
          <w:rFonts w:ascii="Arial" w:hAnsi="Arial" w:cs="Arial"/>
          <w:b/>
        </w:rPr>
        <w:t xml:space="preserve">o </w:t>
      </w:r>
      <w:r w:rsidR="00AD7166">
        <w:rPr>
          <w:rFonts w:ascii="Arial" w:hAnsi="Arial" w:cs="Arial"/>
          <w:b/>
        </w:rPr>
        <w:t xml:space="preserve">jejich </w:t>
      </w:r>
      <w:r w:rsidR="003C428C">
        <w:rPr>
          <w:rFonts w:ascii="Arial" w:hAnsi="Arial" w:cs="Arial"/>
          <w:b/>
        </w:rPr>
        <w:t>přístupu</w:t>
      </w:r>
      <w:r w:rsidR="008D139E">
        <w:rPr>
          <w:rFonts w:ascii="Arial" w:hAnsi="Arial" w:cs="Arial"/>
          <w:b/>
        </w:rPr>
        <w:t xml:space="preserve"> </w:t>
      </w:r>
      <w:r w:rsidR="003C428C">
        <w:rPr>
          <w:rFonts w:ascii="Arial" w:hAnsi="Arial" w:cs="Arial"/>
          <w:b/>
        </w:rPr>
        <w:t>k</w:t>
      </w:r>
      <w:r w:rsidR="00AD7166">
        <w:rPr>
          <w:rFonts w:ascii="Arial" w:hAnsi="Arial" w:cs="Arial"/>
          <w:b/>
        </w:rPr>
        <w:t> </w:t>
      </w:r>
      <w:r w:rsidR="003C428C">
        <w:rPr>
          <w:rFonts w:ascii="Arial" w:hAnsi="Arial" w:cs="Arial"/>
          <w:b/>
        </w:rPr>
        <w:t>bytové</w:t>
      </w:r>
      <w:r w:rsidR="00AD7166">
        <w:rPr>
          <w:rFonts w:ascii="Arial" w:hAnsi="Arial" w:cs="Arial"/>
          <w:b/>
        </w:rPr>
        <w:t xml:space="preserve"> a sociální</w:t>
      </w:r>
      <w:r w:rsidR="003C428C">
        <w:rPr>
          <w:rFonts w:ascii="Arial" w:hAnsi="Arial" w:cs="Arial"/>
          <w:b/>
        </w:rPr>
        <w:t xml:space="preserve"> </w:t>
      </w:r>
      <w:r w:rsidR="008D139E">
        <w:rPr>
          <w:rFonts w:ascii="Arial" w:hAnsi="Arial" w:cs="Arial"/>
          <w:b/>
        </w:rPr>
        <w:t>politi</w:t>
      </w:r>
      <w:r w:rsidR="003C428C">
        <w:rPr>
          <w:rFonts w:ascii="Arial" w:hAnsi="Arial" w:cs="Arial"/>
          <w:b/>
        </w:rPr>
        <w:t>ce</w:t>
      </w:r>
      <w:r w:rsidR="008D139E">
        <w:rPr>
          <w:rFonts w:ascii="Arial" w:hAnsi="Arial" w:cs="Arial"/>
          <w:b/>
        </w:rPr>
        <w:t xml:space="preserve">. </w:t>
      </w:r>
    </w:p>
    <w:p w14:paraId="26909B10" w14:textId="77777777" w:rsidR="003C428C" w:rsidRDefault="003C428C" w:rsidP="006E4081">
      <w:pPr>
        <w:suppressAutoHyphens w:val="0"/>
        <w:spacing w:after="0"/>
        <w:jc w:val="both"/>
        <w:rPr>
          <w:rFonts w:ascii="Arial" w:hAnsi="Arial" w:cs="Arial"/>
          <w:b/>
        </w:rPr>
      </w:pPr>
    </w:p>
    <w:p w14:paraId="582A1820" w14:textId="23FF6B22" w:rsidR="004F6F47" w:rsidRDefault="001746FC" w:rsidP="004F6F47">
      <w:p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c</w:t>
      </w:r>
      <w:r w:rsidR="004F6F47">
        <w:rPr>
          <w:rFonts w:ascii="Arial" w:hAnsi="Arial" w:cs="Arial"/>
        </w:rPr>
        <w:t xml:space="preserve">elkem </w:t>
      </w:r>
      <w:r>
        <w:rPr>
          <w:rFonts w:ascii="Arial" w:hAnsi="Arial" w:cs="Arial"/>
        </w:rPr>
        <w:t>12</w:t>
      </w:r>
      <w:r w:rsidR="004F6F47">
        <w:rPr>
          <w:rFonts w:ascii="Arial" w:hAnsi="Arial" w:cs="Arial"/>
        </w:rPr>
        <w:t xml:space="preserve"> zemí</w:t>
      </w:r>
      <w:r>
        <w:rPr>
          <w:rFonts w:ascii="Arial" w:hAnsi="Arial" w:cs="Arial"/>
        </w:rPr>
        <w:t>ch</w:t>
      </w:r>
      <w:r w:rsidR="004F6F47">
        <w:rPr>
          <w:rFonts w:ascii="Arial" w:hAnsi="Arial" w:cs="Arial"/>
        </w:rPr>
        <w:t xml:space="preserve"> EU</w:t>
      </w:r>
      <w:r>
        <w:rPr>
          <w:rFonts w:ascii="Arial" w:hAnsi="Arial" w:cs="Arial"/>
        </w:rPr>
        <w:t xml:space="preserve"> </w:t>
      </w:r>
      <w:r w:rsidR="00221496">
        <w:rPr>
          <w:rFonts w:ascii="Arial" w:hAnsi="Arial" w:cs="Arial"/>
        </w:rPr>
        <w:t>je situace na trhu s bydlením taková, že</w:t>
      </w:r>
      <w:r w:rsidR="004F6F47">
        <w:rPr>
          <w:rFonts w:ascii="Arial" w:hAnsi="Arial" w:cs="Arial"/>
        </w:rPr>
        <w:t xml:space="preserve"> umožňuje mladým lidem osamostatnit se v nižším věku než u nás. </w:t>
      </w:r>
      <w:r w:rsidR="004F6F47" w:rsidRPr="00442387">
        <w:rPr>
          <w:rFonts w:ascii="Arial" w:hAnsi="Arial" w:cs="Arial"/>
        </w:rPr>
        <w:t>Dobré podmínky</w:t>
      </w:r>
      <w:r w:rsidR="004F6F47">
        <w:rPr>
          <w:rFonts w:ascii="Arial" w:hAnsi="Arial" w:cs="Arial"/>
        </w:rPr>
        <w:t xml:space="preserve"> jsou </w:t>
      </w:r>
      <w:r w:rsidR="004F6F47" w:rsidRPr="00442387">
        <w:rPr>
          <w:rFonts w:ascii="Arial" w:hAnsi="Arial" w:cs="Arial"/>
        </w:rPr>
        <w:t>především ve Švédsku (</w:t>
      </w:r>
      <w:r w:rsidR="00221496">
        <w:rPr>
          <w:rFonts w:ascii="Arial" w:hAnsi="Arial" w:cs="Arial"/>
        </w:rPr>
        <w:t xml:space="preserve">průměrný věk </w:t>
      </w:r>
      <w:r w:rsidR="00D94784">
        <w:rPr>
          <w:rFonts w:ascii="Arial" w:hAnsi="Arial" w:cs="Arial"/>
        </w:rPr>
        <w:t xml:space="preserve">odstěhování se od rodičů je </w:t>
      </w:r>
      <w:r w:rsidR="004F6F47" w:rsidRPr="00442387">
        <w:rPr>
          <w:rFonts w:ascii="Arial" w:hAnsi="Arial" w:cs="Arial"/>
        </w:rPr>
        <w:t xml:space="preserve">18,5), </w:t>
      </w:r>
      <w:r w:rsidR="00A00452">
        <w:rPr>
          <w:rFonts w:ascii="Arial" w:hAnsi="Arial" w:cs="Arial"/>
        </w:rPr>
        <w:t xml:space="preserve">v </w:t>
      </w:r>
      <w:r w:rsidR="004F6F47" w:rsidRPr="00442387">
        <w:rPr>
          <w:rFonts w:ascii="Arial" w:hAnsi="Arial" w:cs="Arial"/>
        </w:rPr>
        <w:t xml:space="preserve">Lucembursku (20,1) a </w:t>
      </w:r>
      <w:r w:rsidR="00A00452">
        <w:rPr>
          <w:rFonts w:ascii="Arial" w:hAnsi="Arial" w:cs="Arial"/>
        </w:rPr>
        <w:t xml:space="preserve">v </w:t>
      </w:r>
      <w:r w:rsidR="004F6F47" w:rsidRPr="00442387">
        <w:rPr>
          <w:rFonts w:ascii="Arial" w:hAnsi="Arial" w:cs="Arial"/>
        </w:rPr>
        <w:t>Dánsku (21,1)</w:t>
      </w:r>
      <w:r w:rsidR="004F6F47">
        <w:rPr>
          <w:rFonts w:ascii="Arial" w:hAnsi="Arial" w:cs="Arial"/>
        </w:rPr>
        <w:t>, kde</w:t>
      </w:r>
      <w:r w:rsidR="00495260">
        <w:rPr>
          <w:rFonts w:ascii="Arial" w:hAnsi="Arial" w:cs="Arial"/>
        </w:rPr>
        <w:t> </w:t>
      </w:r>
      <w:r w:rsidR="004F6F47">
        <w:rPr>
          <w:rFonts w:ascii="Arial" w:hAnsi="Arial" w:cs="Arial"/>
        </w:rPr>
        <w:t>m</w:t>
      </w:r>
      <w:r w:rsidR="001708BB">
        <w:rPr>
          <w:rFonts w:ascii="Arial" w:hAnsi="Arial" w:cs="Arial"/>
        </w:rPr>
        <w:t>ileniálové</w:t>
      </w:r>
      <w:r w:rsidR="004F6F47">
        <w:rPr>
          <w:rFonts w:ascii="Arial" w:hAnsi="Arial" w:cs="Arial"/>
        </w:rPr>
        <w:t xml:space="preserve"> odcházejí</w:t>
      </w:r>
      <w:r w:rsidR="001708BB">
        <w:rPr>
          <w:rFonts w:ascii="Arial" w:hAnsi="Arial" w:cs="Arial"/>
        </w:rPr>
        <w:t xml:space="preserve"> z domova</w:t>
      </w:r>
      <w:r w:rsidR="004F6F47">
        <w:rPr>
          <w:rFonts w:ascii="Arial" w:hAnsi="Arial" w:cs="Arial"/>
        </w:rPr>
        <w:t xml:space="preserve"> krátce po dokončení školy</w:t>
      </w:r>
      <w:r w:rsidR="004F6F47" w:rsidRPr="00442387">
        <w:rPr>
          <w:rFonts w:ascii="Arial" w:hAnsi="Arial" w:cs="Arial"/>
        </w:rPr>
        <w:t>. Naopak až po</w:t>
      </w:r>
      <w:r w:rsidR="00A37D1F">
        <w:rPr>
          <w:rFonts w:ascii="Arial" w:hAnsi="Arial" w:cs="Arial"/>
        </w:rPr>
        <w:t xml:space="preserve"> třicít</w:t>
      </w:r>
      <w:r w:rsidR="00C43EE1">
        <w:rPr>
          <w:rFonts w:ascii="Arial" w:hAnsi="Arial" w:cs="Arial"/>
        </w:rPr>
        <w:t>ce opouštějí rodné</w:t>
      </w:r>
      <w:r w:rsidR="00A00452">
        <w:rPr>
          <w:rFonts w:ascii="Arial" w:hAnsi="Arial" w:cs="Arial"/>
        </w:rPr>
        <w:t xml:space="preserve"> hnízdo</w:t>
      </w:r>
      <w:r w:rsidR="00A37D1F">
        <w:rPr>
          <w:rFonts w:ascii="Arial" w:hAnsi="Arial" w:cs="Arial"/>
        </w:rPr>
        <w:t xml:space="preserve"> </w:t>
      </w:r>
      <w:r w:rsidR="004F6F47" w:rsidRPr="00442387">
        <w:rPr>
          <w:rFonts w:ascii="Arial" w:hAnsi="Arial" w:cs="Arial"/>
        </w:rPr>
        <w:t xml:space="preserve">v Itálii (30,1), na Maltě (30,7), </w:t>
      </w:r>
      <w:r w:rsidR="00A00452">
        <w:rPr>
          <w:rFonts w:ascii="Arial" w:hAnsi="Arial" w:cs="Arial"/>
        </w:rPr>
        <w:t xml:space="preserve">na </w:t>
      </w:r>
      <w:r w:rsidR="004F6F47" w:rsidRPr="00442387">
        <w:rPr>
          <w:rFonts w:ascii="Arial" w:hAnsi="Arial" w:cs="Arial"/>
        </w:rPr>
        <w:t xml:space="preserve">Slovensku (30,9) a v Chorvatsku (31,8). </w:t>
      </w:r>
    </w:p>
    <w:p w14:paraId="473CE833" w14:textId="77777777" w:rsidR="004F6F47" w:rsidRDefault="004F6F47" w:rsidP="004F6F47">
      <w:pPr>
        <w:suppressAutoHyphens w:val="0"/>
        <w:spacing w:after="0"/>
        <w:jc w:val="both"/>
        <w:rPr>
          <w:rFonts w:ascii="Arial" w:hAnsi="Arial" w:cs="Arial"/>
        </w:rPr>
      </w:pPr>
    </w:p>
    <w:p w14:paraId="5A649FD0" w14:textId="3627487D" w:rsidR="009D228E" w:rsidRPr="0088521D" w:rsidRDefault="004E486D" w:rsidP="004F6F47">
      <w:pPr>
        <w:suppressAutoHyphens w:val="0"/>
        <w:spacing w:after="0"/>
        <w:jc w:val="both"/>
        <w:rPr>
          <w:rFonts w:ascii="Arial" w:eastAsia="Calibri" w:hAnsi="Arial" w:cs="Arial"/>
          <w:i/>
        </w:rPr>
      </w:pPr>
      <w:r w:rsidRPr="00482CC1">
        <w:rPr>
          <w:rFonts w:ascii="Arial" w:eastAsia="Calibri" w:hAnsi="Arial" w:cs="Arial"/>
          <w:i/>
        </w:rPr>
        <w:t>„</w:t>
      </w:r>
      <w:r w:rsidR="00324881" w:rsidRPr="00482CC1">
        <w:rPr>
          <w:rFonts w:ascii="Arial" w:eastAsia="Calibri" w:hAnsi="Arial" w:cs="Arial"/>
          <w:i/>
        </w:rPr>
        <w:t>V</w:t>
      </w:r>
      <w:r w:rsidR="00D130C9" w:rsidRPr="00D130C9">
        <w:t xml:space="preserve"> </w:t>
      </w:r>
      <w:r w:rsidR="00D130C9">
        <w:rPr>
          <w:rFonts w:ascii="Arial" w:eastAsia="Calibri" w:hAnsi="Arial" w:cs="Arial"/>
          <w:i/>
        </w:rPr>
        <w:t>žebříčku Evropské unie</w:t>
      </w:r>
      <w:r w:rsidR="00D130C9" w:rsidRPr="00D130C9">
        <w:rPr>
          <w:rFonts w:ascii="Arial" w:eastAsia="Calibri" w:hAnsi="Arial" w:cs="Arial"/>
          <w:i/>
        </w:rPr>
        <w:t xml:space="preserve"> patří Česká republika k zemím s nejni</w:t>
      </w:r>
      <w:r w:rsidR="00D130C9">
        <w:rPr>
          <w:rFonts w:ascii="Arial" w:eastAsia="Calibri" w:hAnsi="Arial" w:cs="Arial"/>
          <w:i/>
        </w:rPr>
        <w:t xml:space="preserve">žším podílem nájemního bydlení. Přesto </w:t>
      </w:r>
      <w:r w:rsidR="00324881" w:rsidRPr="00482CC1">
        <w:rPr>
          <w:rFonts w:ascii="Arial" w:eastAsia="Calibri" w:hAnsi="Arial" w:cs="Arial"/>
          <w:i/>
        </w:rPr>
        <w:t>z</w:t>
      </w:r>
      <w:r w:rsidRPr="00482CC1">
        <w:rPr>
          <w:rFonts w:ascii="Arial" w:eastAsia="Calibri" w:hAnsi="Arial" w:cs="Arial"/>
          <w:i/>
        </w:rPr>
        <w:t xml:space="preserve">hruba 75 % </w:t>
      </w:r>
      <w:r w:rsidR="00324881" w:rsidRPr="00482CC1">
        <w:rPr>
          <w:rFonts w:ascii="Arial" w:eastAsia="Calibri" w:hAnsi="Arial" w:cs="Arial"/>
          <w:i/>
        </w:rPr>
        <w:t>mladých</w:t>
      </w:r>
      <w:r w:rsidRPr="00482CC1">
        <w:rPr>
          <w:rFonts w:ascii="Arial" w:eastAsia="Calibri" w:hAnsi="Arial" w:cs="Arial"/>
          <w:i/>
        </w:rPr>
        <w:t xml:space="preserve"> </w:t>
      </w:r>
      <w:r w:rsidR="00324881" w:rsidRPr="00482CC1">
        <w:rPr>
          <w:rFonts w:ascii="Arial" w:eastAsia="Calibri" w:hAnsi="Arial" w:cs="Arial"/>
          <w:i/>
        </w:rPr>
        <w:t>lidí</w:t>
      </w:r>
      <w:r w:rsidRPr="00482CC1">
        <w:rPr>
          <w:rFonts w:ascii="Arial" w:eastAsia="Calibri" w:hAnsi="Arial" w:cs="Arial"/>
          <w:i/>
        </w:rPr>
        <w:t xml:space="preserve"> </w:t>
      </w:r>
      <w:r w:rsidR="00D130C9">
        <w:rPr>
          <w:rFonts w:ascii="Arial" w:eastAsia="Calibri" w:hAnsi="Arial" w:cs="Arial"/>
          <w:i/>
        </w:rPr>
        <w:t xml:space="preserve">bydlí </w:t>
      </w:r>
      <w:r w:rsidRPr="00482CC1">
        <w:rPr>
          <w:rFonts w:ascii="Arial" w:eastAsia="Calibri" w:hAnsi="Arial" w:cs="Arial"/>
          <w:i/>
        </w:rPr>
        <w:t>po odchodu od rodičů</w:t>
      </w:r>
      <w:r w:rsidR="00434FBE">
        <w:rPr>
          <w:rFonts w:ascii="Arial" w:eastAsia="Calibri" w:hAnsi="Arial" w:cs="Arial"/>
          <w:i/>
        </w:rPr>
        <w:t xml:space="preserve"> právě</w:t>
      </w:r>
      <w:r w:rsidRPr="00482CC1">
        <w:rPr>
          <w:rFonts w:ascii="Arial" w:eastAsia="Calibri" w:hAnsi="Arial" w:cs="Arial"/>
          <w:i/>
        </w:rPr>
        <w:t xml:space="preserve"> v nájmu. </w:t>
      </w:r>
      <w:r w:rsidR="00DE2EC3" w:rsidRPr="00482CC1">
        <w:rPr>
          <w:rFonts w:ascii="Arial" w:eastAsia="Calibri" w:hAnsi="Arial" w:cs="Arial"/>
          <w:i/>
        </w:rPr>
        <w:t xml:space="preserve">Hlavní </w:t>
      </w:r>
      <w:r w:rsidRPr="00482CC1">
        <w:rPr>
          <w:rFonts w:ascii="Arial" w:eastAsia="Calibri" w:hAnsi="Arial" w:cs="Arial"/>
          <w:i/>
        </w:rPr>
        <w:t xml:space="preserve">roli hrají finance. Ty jsou také hlavním důvodem, </w:t>
      </w:r>
      <w:r w:rsidR="00162E07" w:rsidRPr="00482CC1">
        <w:rPr>
          <w:rFonts w:ascii="Arial" w:eastAsia="Calibri" w:hAnsi="Arial" w:cs="Arial"/>
          <w:i/>
        </w:rPr>
        <w:t xml:space="preserve">proč se </w:t>
      </w:r>
      <w:r w:rsidR="00D130C9">
        <w:rPr>
          <w:rFonts w:ascii="Arial" w:eastAsia="Calibri" w:hAnsi="Arial" w:cs="Arial"/>
          <w:i/>
        </w:rPr>
        <w:t xml:space="preserve">mladí </w:t>
      </w:r>
      <w:r w:rsidR="00162E07" w:rsidRPr="00482CC1">
        <w:rPr>
          <w:rFonts w:ascii="Arial" w:eastAsia="Calibri" w:hAnsi="Arial" w:cs="Arial"/>
          <w:i/>
        </w:rPr>
        <w:t xml:space="preserve">nemohou </w:t>
      </w:r>
      <w:r w:rsidR="00DE36F0" w:rsidRPr="00482CC1">
        <w:rPr>
          <w:rFonts w:ascii="Arial" w:eastAsia="Calibri" w:hAnsi="Arial" w:cs="Arial"/>
          <w:i/>
        </w:rPr>
        <w:t xml:space="preserve">osamostatnit </w:t>
      </w:r>
      <w:r w:rsidRPr="00482CC1">
        <w:rPr>
          <w:rFonts w:ascii="Arial" w:eastAsia="Calibri" w:hAnsi="Arial" w:cs="Arial"/>
          <w:i/>
        </w:rPr>
        <w:t>dříve.</w:t>
      </w:r>
      <w:r w:rsidR="00DE2EC3" w:rsidRPr="00482CC1">
        <w:rPr>
          <w:rFonts w:ascii="Arial" w:eastAsia="Calibri" w:hAnsi="Arial" w:cs="Arial"/>
          <w:i/>
        </w:rPr>
        <w:t xml:space="preserve"> </w:t>
      </w:r>
      <w:r w:rsidR="00F212C3">
        <w:rPr>
          <w:rFonts w:ascii="Arial" w:eastAsia="Calibri" w:hAnsi="Arial" w:cs="Arial"/>
          <w:i/>
        </w:rPr>
        <w:t>V</w:t>
      </w:r>
      <w:r w:rsidR="009B6C8D" w:rsidRPr="00482CC1">
        <w:rPr>
          <w:rFonts w:ascii="Arial" w:eastAsia="Calibri" w:hAnsi="Arial" w:cs="Arial"/>
          <w:i/>
        </w:rPr>
        <w:t>ýznamným</w:t>
      </w:r>
      <w:r w:rsidR="00DE2EC3" w:rsidRPr="00482CC1">
        <w:rPr>
          <w:rFonts w:ascii="Arial" w:eastAsia="Calibri" w:hAnsi="Arial" w:cs="Arial"/>
          <w:i/>
        </w:rPr>
        <w:t xml:space="preserve"> faktorem </w:t>
      </w:r>
      <w:r w:rsidR="00F212C3">
        <w:rPr>
          <w:rFonts w:ascii="Arial" w:eastAsia="Calibri" w:hAnsi="Arial" w:cs="Arial"/>
          <w:i/>
        </w:rPr>
        <w:t xml:space="preserve">je jejich </w:t>
      </w:r>
      <w:r w:rsidR="008661A4" w:rsidRPr="00482CC1">
        <w:rPr>
          <w:rFonts w:ascii="Arial" w:eastAsia="Calibri" w:hAnsi="Arial" w:cs="Arial"/>
          <w:i/>
        </w:rPr>
        <w:t xml:space="preserve">dostatečný </w:t>
      </w:r>
      <w:r w:rsidR="00D130C9">
        <w:rPr>
          <w:rFonts w:ascii="Arial" w:eastAsia="Calibri" w:hAnsi="Arial" w:cs="Arial"/>
          <w:i/>
        </w:rPr>
        <w:t xml:space="preserve">pravidelný </w:t>
      </w:r>
      <w:r w:rsidR="008661A4" w:rsidRPr="00482CC1">
        <w:rPr>
          <w:rFonts w:ascii="Arial" w:eastAsia="Calibri" w:hAnsi="Arial" w:cs="Arial"/>
          <w:i/>
        </w:rPr>
        <w:t>příjem</w:t>
      </w:r>
      <w:r w:rsidR="005B3B03">
        <w:rPr>
          <w:rFonts w:ascii="Arial" w:eastAsia="Calibri" w:hAnsi="Arial" w:cs="Arial"/>
          <w:i/>
        </w:rPr>
        <w:t xml:space="preserve">. Neméně zásadní roli </w:t>
      </w:r>
      <w:r w:rsidR="00D31C8A">
        <w:rPr>
          <w:rFonts w:ascii="Arial" w:eastAsia="Calibri" w:hAnsi="Arial" w:cs="Arial"/>
          <w:i/>
        </w:rPr>
        <w:t>při</w:t>
      </w:r>
      <w:r w:rsidR="004C2C04">
        <w:rPr>
          <w:rFonts w:ascii="Arial" w:eastAsia="Calibri" w:hAnsi="Arial" w:cs="Arial"/>
          <w:i/>
        </w:rPr>
        <w:t> </w:t>
      </w:r>
      <w:r w:rsidR="00D31C8A">
        <w:rPr>
          <w:rFonts w:ascii="Arial" w:eastAsia="Calibri" w:hAnsi="Arial" w:cs="Arial"/>
          <w:i/>
        </w:rPr>
        <w:t xml:space="preserve">rozhodování o samostatném bydlení </w:t>
      </w:r>
      <w:r w:rsidR="005B3B03">
        <w:rPr>
          <w:rFonts w:ascii="Arial" w:eastAsia="Calibri" w:hAnsi="Arial" w:cs="Arial"/>
          <w:i/>
        </w:rPr>
        <w:t>hraj</w:t>
      </w:r>
      <w:r w:rsidR="0088521D">
        <w:rPr>
          <w:rFonts w:ascii="Arial" w:eastAsia="Calibri" w:hAnsi="Arial" w:cs="Arial"/>
          <w:i/>
        </w:rPr>
        <w:t xml:space="preserve">e </w:t>
      </w:r>
      <w:r w:rsidR="00626C32">
        <w:rPr>
          <w:rFonts w:ascii="Arial" w:eastAsia="Calibri" w:hAnsi="Arial" w:cs="Arial"/>
          <w:i/>
        </w:rPr>
        <w:t xml:space="preserve">také </w:t>
      </w:r>
      <w:r w:rsidR="00DE2EC3" w:rsidRPr="00482CC1">
        <w:rPr>
          <w:rFonts w:ascii="Arial" w:eastAsia="Calibri" w:hAnsi="Arial" w:cs="Arial"/>
          <w:i/>
        </w:rPr>
        <w:t>s</w:t>
      </w:r>
      <w:r w:rsidR="00DE36F0" w:rsidRPr="00482CC1">
        <w:rPr>
          <w:rFonts w:ascii="Arial" w:eastAsia="Calibri" w:hAnsi="Arial" w:cs="Arial"/>
          <w:i/>
        </w:rPr>
        <w:t>oučasn</w:t>
      </w:r>
      <w:r w:rsidR="00DE2EC3" w:rsidRPr="00482CC1">
        <w:rPr>
          <w:rFonts w:ascii="Arial" w:eastAsia="Calibri" w:hAnsi="Arial" w:cs="Arial"/>
          <w:i/>
        </w:rPr>
        <w:t>á</w:t>
      </w:r>
      <w:r w:rsidR="008661A4" w:rsidRPr="00482CC1">
        <w:rPr>
          <w:rFonts w:ascii="Arial" w:eastAsia="Calibri" w:hAnsi="Arial" w:cs="Arial"/>
          <w:i/>
        </w:rPr>
        <w:t xml:space="preserve"> </w:t>
      </w:r>
      <w:r w:rsidR="00DE2EC3" w:rsidRPr="00482CC1">
        <w:rPr>
          <w:rFonts w:ascii="Arial" w:eastAsia="Calibri" w:hAnsi="Arial" w:cs="Arial"/>
          <w:i/>
        </w:rPr>
        <w:t>cena</w:t>
      </w:r>
      <w:r w:rsidR="008661A4" w:rsidRPr="00482CC1">
        <w:rPr>
          <w:rFonts w:ascii="Arial" w:eastAsia="Calibri" w:hAnsi="Arial" w:cs="Arial"/>
          <w:i/>
        </w:rPr>
        <w:t xml:space="preserve"> nemovitostí. </w:t>
      </w:r>
      <w:r w:rsidR="009D228E" w:rsidRPr="00482CC1">
        <w:rPr>
          <w:rFonts w:ascii="Arial" w:eastAsia="Calibri" w:hAnsi="Arial" w:cs="Arial"/>
          <w:i/>
        </w:rPr>
        <w:t>V České republice žije více než 1,2 milionu lidí mezi 26 a 34 lety</w:t>
      </w:r>
      <w:r w:rsidR="00DE36F0" w:rsidRPr="00482CC1">
        <w:rPr>
          <w:rFonts w:ascii="Arial" w:eastAsia="Calibri" w:hAnsi="Arial" w:cs="Arial"/>
          <w:i/>
        </w:rPr>
        <w:t xml:space="preserve">, </w:t>
      </w:r>
      <w:r w:rsidR="002D5CE4" w:rsidRPr="00482CC1">
        <w:rPr>
          <w:rFonts w:ascii="Arial" w:eastAsia="Calibri" w:hAnsi="Arial" w:cs="Arial"/>
          <w:i/>
        </w:rPr>
        <w:t>což</w:t>
      </w:r>
      <w:r w:rsidR="00BD62E2" w:rsidRPr="00482CC1">
        <w:rPr>
          <w:rFonts w:ascii="Arial" w:eastAsia="Calibri" w:hAnsi="Arial" w:cs="Arial"/>
          <w:i/>
        </w:rPr>
        <w:t xml:space="preserve"> odpovídá 12 % </w:t>
      </w:r>
      <w:r w:rsidR="00153EE4">
        <w:rPr>
          <w:rFonts w:ascii="Arial" w:eastAsia="Calibri" w:hAnsi="Arial" w:cs="Arial"/>
          <w:i/>
        </w:rPr>
        <w:t>tuzemské</w:t>
      </w:r>
      <w:r w:rsidR="00BD62E2" w:rsidRPr="00482CC1">
        <w:rPr>
          <w:rFonts w:ascii="Arial" w:eastAsia="Calibri" w:hAnsi="Arial" w:cs="Arial"/>
          <w:i/>
        </w:rPr>
        <w:t xml:space="preserve"> populace. V Praze, kde v tomto věkovém rozmezí žije na 180 tisíc</w:t>
      </w:r>
      <w:r w:rsidR="00D130C9">
        <w:rPr>
          <w:rFonts w:ascii="Arial" w:eastAsia="Calibri" w:hAnsi="Arial" w:cs="Arial"/>
          <w:i/>
        </w:rPr>
        <w:t xml:space="preserve"> obyvatel</w:t>
      </w:r>
      <w:r w:rsidR="00BD62E2" w:rsidRPr="00482CC1">
        <w:rPr>
          <w:rFonts w:ascii="Arial" w:eastAsia="Calibri" w:hAnsi="Arial" w:cs="Arial"/>
          <w:i/>
        </w:rPr>
        <w:t>, se v</w:t>
      </w:r>
      <w:r w:rsidR="00DE36F0" w:rsidRPr="00482CC1">
        <w:rPr>
          <w:rFonts w:ascii="Arial" w:eastAsia="Calibri" w:hAnsi="Arial" w:cs="Arial"/>
          <w:i/>
        </w:rPr>
        <w:t> prvním čtvrtletí letošního roku postavilo pouze 1 340 nových bytů</w:t>
      </w:r>
      <w:r w:rsidR="00BD62E2" w:rsidRPr="00482CC1">
        <w:rPr>
          <w:rFonts w:ascii="Arial" w:eastAsia="Calibri" w:hAnsi="Arial" w:cs="Arial"/>
          <w:i/>
        </w:rPr>
        <w:t>. N</w:t>
      </w:r>
      <w:r w:rsidR="002D5CE4" w:rsidRPr="00482CC1">
        <w:rPr>
          <w:rFonts w:ascii="Arial" w:eastAsia="Calibri" w:hAnsi="Arial" w:cs="Arial"/>
          <w:i/>
        </w:rPr>
        <w:t>avíc cena bytů v novostavbě již</w:t>
      </w:r>
      <w:r w:rsidR="004C2C04">
        <w:rPr>
          <w:rFonts w:ascii="Arial" w:eastAsia="Calibri" w:hAnsi="Arial" w:cs="Arial"/>
          <w:i/>
        </w:rPr>
        <w:t> </w:t>
      </w:r>
      <w:r w:rsidR="002D5CE4" w:rsidRPr="00482CC1">
        <w:rPr>
          <w:rFonts w:ascii="Arial" w:eastAsia="Calibri" w:hAnsi="Arial" w:cs="Arial"/>
          <w:i/>
        </w:rPr>
        <w:t xml:space="preserve">dávno překročila hranici 100 tisíc korun </w:t>
      </w:r>
      <w:r w:rsidR="00DE36F0" w:rsidRPr="00482CC1">
        <w:rPr>
          <w:rFonts w:ascii="Arial" w:eastAsia="Calibri" w:hAnsi="Arial" w:cs="Arial"/>
          <w:i/>
        </w:rPr>
        <w:t xml:space="preserve">za metr čtvereční. </w:t>
      </w:r>
      <w:r w:rsidR="00BD62E2" w:rsidRPr="00482CC1">
        <w:rPr>
          <w:rFonts w:ascii="Arial" w:eastAsia="Calibri" w:hAnsi="Arial" w:cs="Arial"/>
          <w:i/>
        </w:rPr>
        <w:t>Mladí lidé si</w:t>
      </w:r>
      <w:r w:rsidR="00495260">
        <w:rPr>
          <w:rFonts w:ascii="Arial" w:eastAsia="Calibri" w:hAnsi="Arial" w:cs="Arial"/>
          <w:i/>
        </w:rPr>
        <w:t> </w:t>
      </w:r>
      <w:r w:rsidR="00BD62E2" w:rsidRPr="00482CC1">
        <w:rPr>
          <w:rFonts w:ascii="Arial" w:eastAsia="Calibri" w:hAnsi="Arial" w:cs="Arial"/>
          <w:i/>
        </w:rPr>
        <w:t>jednoduše nové bydlení nemohou dovolit</w:t>
      </w:r>
      <w:r w:rsidR="00153EE4">
        <w:rPr>
          <w:rFonts w:ascii="Arial" w:eastAsia="Calibri" w:hAnsi="Arial" w:cs="Arial"/>
          <w:i/>
        </w:rPr>
        <w:t xml:space="preserve">. Proto je </w:t>
      </w:r>
      <w:r w:rsidR="00162EFC">
        <w:rPr>
          <w:rFonts w:ascii="Arial" w:eastAsia="Calibri" w:hAnsi="Arial" w:cs="Arial"/>
          <w:i/>
        </w:rPr>
        <w:t>pro ně nájemní bydlení čím dál atraktivnější,</w:t>
      </w:r>
      <w:r w:rsidR="00324881" w:rsidRPr="00482CC1">
        <w:rPr>
          <w:rFonts w:ascii="Arial" w:eastAsia="Calibri" w:hAnsi="Arial" w:cs="Arial"/>
          <w:i/>
        </w:rPr>
        <w:t>“</w:t>
      </w:r>
      <w:r w:rsidR="00324881">
        <w:rPr>
          <w:rFonts w:ascii="Arial" w:eastAsia="Calibri" w:hAnsi="Arial" w:cs="Arial"/>
        </w:rPr>
        <w:t xml:space="preserve"> komentuje </w:t>
      </w:r>
      <w:r w:rsidR="00CE19E7">
        <w:rPr>
          <w:rFonts w:ascii="Arial" w:eastAsia="Calibri" w:hAnsi="Arial" w:cs="Arial"/>
        </w:rPr>
        <w:t xml:space="preserve">Peter Noack, </w:t>
      </w:r>
      <w:r w:rsidR="00CE19E7" w:rsidRPr="00CE19E7">
        <w:rPr>
          <w:rFonts w:ascii="Arial" w:eastAsia="Calibri" w:hAnsi="Arial" w:cs="Arial"/>
        </w:rPr>
        <w:t>CEO společnosti Zeitgeist Asset Management</w:t>
      </w:r>
      <w:r w:rsidR="00CE19E7">
        <w:rPr>
          <w:rFonts w:ascii="Arial" w:eastAsia="Calibri" w:hAnsi="Arial" w:cs="Arial"/>
        </w:rPr>
        <w:t>.</w:t>
      </w:r>
      <w:r w:rsidR="00BD62E2">
        <w:rPr>
          <w:rFonts w:ascii="Arial" w:eastAsia="Calibri" w:hAnsi="Arial" w:cs="Arial"/>
        </w:rPr>
        <w:t xml:space="preserve"> </w:t>
      </w:r>
    </w:p>
    <w:p w14:paraId="13D4144B" w14:textId="77777777" w:rsidR="00D130C9" w:rsidRDefault="00D130C9" w:rsidP="00BD62E2">
      <w:pPr>
        <w:suppressAutoHyphens w:val="0"/>
        <w:spacing w:after="0"/>
        <w:jc w:val="both"/>
        <w:rPr>
          <w:rFonts w:ascii="Arial" w:eastAsia="Calibri" w:hAnsi="Arial" w:cs="Arial"/>
        </w:rPr>
      </w:pPr>
    </w:p>
    <w:p w14:paraId="29CD792D" w14:textId="600C702F" w:rsidR="004F6F47" w:rsidRDefault="004F6F47" w:rsidP="004F6F47">
      <w:p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32B17">
        <w:rPr>
          <w:rFonts w:ascii="Arial" w:hAnsi="Arial" w:cs="Arial"/>
        </w:rPr>
        <w:t>a byt v</w:t>
      </w:r>
      <w:r>
        <w:rPr>
          <w:rFonts w:ascii="Arial" w:hAnsi="Arial" w:cs="Arial"/>
        </w:rPr>
        <w:t> Praze ve</w:t>
      </w:r>
      <w:r w:rsidRPr="00832B17">
        <w:rPr>
          <w:rFonts w:ascii="Arial" w:hAnsi="Arial" w:cs="Arial"/>
        </w:rPr>
        <w:t xml:space="preserve"> velikosti 2+kk a plo</w:t>
      </w:r>
      <w:r w:rsidR="00E13566">
        <w:rPr>
          <w:rFonts w:ascii="Arial" w:hAnsi="Arial" w:cs="Arial"/>
        </w:rPr>
        <w:t>chou</w:t>
      </w:r>
      <w:r w:rsidRPr="00832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cca</w:t>
      </w:r>
      <w:r w:rsidRPr="00832B17">
        <w:rPr>
          <w:rFonts w:ascii="Arial" w:hAnsi="Arial" w:cs="Arial"/>
        </w:rPr>
        <w:t xml:space="preserve"> 60 m</w:t>
      </w:r>
      <w:r w:rsidRPr="00832B17">
        <w:rPr>
          <w:rFonts w:ascii="Arial" w:hAnsi="Arial" w:cs="Arial"/>
          <w:vertAlign w:val="superscript"/>
        </w:rPr>
        <w:t>2</w:t>
      </w:r>
      <w:r w:rsidRPr="00832B17">
        <w:rPr>
          <w:rFonts w:ascii="Arial" w:hAnsi="Arial" w:cs="Arial"/>
        </w:rPr>
        <w:t xml:space="preserve"> si dnes </w:t>
      </w:r>
      <w:r w:rsidR="00A37D1F">
        <w:rPr>
          <w:rFonts w:ascii="Arial" w:hAnsi="Arial" w:cs="Arial"/>
        </w:rPr>
        <w:t>lidé</w:t>
      </w:r>
      <w:r w:rsidRPr="00832B17">
        <w:rPr>
          <w:rFonts w:ascii="Arial" w:hAnsi="Arial" w:cs="Arial"/>
        </w:rPr>
        <w:t xml:space="preserve"> musí připravit téměř 17</w:t>
      </w:r>
      <w:r w:rsidR="00495260">
        <w:rPr>
          <w:rFonts w:ascii="Arial" w:hAnsi="Arial" w:cs="Arial"/>
        </w:rPr>
        <w:t> </w:t>
      </w:r>
      <w:r w:rsidRPr="00832B17">
        <w:rPr>
          <w:rFonts w:ascii="Arial" w:hAnsi="Arial" w:cs="Arial"/>
        </w:rPr>
        <w:t>či</w:t>
      </w:r>
      <w:r>
        <w:rPr>
          <w:rFonts w:ascii="Arial" w:hAnsi="Arial" w:cs="Arial"/>
        </w:rPr>
        <w:t xml:space="preserve">stých ročních průměrných platů. </w:t>
      </w:r>
      <w:r>
        <w:rPr>
          <w:rFonts w:ascii="Arial" w:hAnsi="Arial" w:cs="Arial"/>
          <w:color w:val="000000"/>
        </w:rPr>
        <w:t xml:space="preserve">Snahou společnosti Zeitgeist Asset Management </w:t>
      </w:r>
      <w:r w:rsidR="00722A51">
        <w:rPr>
          <w:rFonts w:ascii="Arial" w:hAnsi="Arial" w:cs="Arial"/>
          <w:color w:val="000000"/>
        </w:rPr>
        <w:t xml:space="preserve">je </w:t>
      </w:r>
      <w:r>
        <w:rPr>
          <w:rFonts w:ascii="Arial" w:hAnsi="Arial" w:cs="Arial"/>
          <w:color w:val="000000"/>
        </w:rPr>
        <w:t>proto</w:t>
      </w:r>
      <w:r w:rsidR="0049526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co nejvíce rozšířit nabídku dostupného nájemního bydlení. </w:t>
      </w:r>
      <w:r w:rsidR="009B6CEF">
        <w:rPr>
          <w:rFonts w:ascii="Arial" w:hAnsi="Arial" w:cs="Arial"/>
        </w:rPr>
        <w:t xml:space="preserve">Ještě během letošního roku uvede na pražský trh </w:t>
      </w:r>
      <w:r w:rsidR="00BE5F95">
        <w:rPr>
          <w:rFonts w:ascii="Arial" w:hAnsi="Arial" w:cs="Arial"/>
        </w:rPr>
        <w:t xml:space="preserve">více než 170 kompletně zrekonstruovaných </w:t>
      </w:r>
      <w:r w:rsidR="00197DD3">
        <w:rPr>
          <w:rFonts w:ascii="Arial" w:hAnsi="Arial" w:cs="Arial"/>
        </w:rPr>
        <w:t xml:space="preserve">nájemních </w:t>
      </w:r>
      <w:r w:rsidR="00BE5F95">
        <w:rPr>
          <w:rFonts w:ascii="Arial" w:hAnsi="Arial" w:cs="Arial"/>
        </w:rPr>
        <w:t>bytů a</w:t>
      </w:r>
      <w:r w:rsidR="004C2C04">
        <w:rPr>
          <w:rFonts w:ascii="Arial" w:hAnsi="Arial" w:cs="Arial"/>
        </w:rPr>
        <w:t> </w:t>
      </w:r>
      <w:r w:rsidR="00BE5F95">
        <w:rPr>
          <w:rFonts w:ascii="Arial" w:hAnsi="Arial" w:cs="Arial"/>
        </w:rPr>
        <w:t>v</w:t>
      </w:r>
      <w:r w:rsidR="00E941FA">
        <w:rPr>
          <w:rFonts w:ascii="Arial" w:hAnsi="Arial" w:cs="Arial"/>
        </w:rPr>
        <w:t xml:space="preserve"> následujících </w:t>
      </w:r>
      <w:r w:rsidR="00BE5F95">
        <w:rPr>
          <w:rFonts w:ascii="Arial" w:hAnsi="Arial" w:cs="Arial"/>
        </w:rPr>
        <w:t xml:space="preserve">letech </w:t>
      </w:r>
      <w:r w:rsidRPr="00832B17">
        <w:rPr>
          <w:rFonts w:ascii="Arial" w:hAnsi="Arial" w:cs="Arial"/>
        </w:rPr>
        <w:t xml:space="preserve">plánuje </w:t>
      </w:r>
      <w:r w:rsidR="00BE5F95">
        <w:rPr>
          <w:rFonts w:ascii="Arial" w:hAnsi="Arial" w:cs="Arial"/>
        </w:rPr>
        <w:t xml:space="preserve">rozšířit </w:t>
      </w:r>
      <w:r w:rsidR="00E941FA">
        <w:rPr>
          <w:rFonts w:ascii="Arial" w:hAnsi="Arial" w:cs="Arial"/>
        </w:rPr>
        <w:t xml:space="preserve">své </w:t>
      </w:r>
      <w:r w:rsidRPr="00832B17">
        <w:rPr>
          <w:rFonts w:ascii="Arial" w:hAnsi="Arial" w:cs="Arial"/>
        </w:rPr>
        <w:t xml:space="preserve">portfolio </w:t>
      </w:r>
      <w:r w:rsidR="00E941FA">
        <w:rPr>
          <w:rFonts w:ascii="Arial" w:hAnsi="Arial" w:cs="Arial"/>
        </w:rPr>
        <w:t xml:space="preserve">na více než </w:t>
      </w:r>
      <w:r w:rsidRPr="00832B17">
        <w:rPr>
          <w:rFonts w:ascii="Arial" w:hAnsi="Arial" w:cs="Arial"/>
        </w:rPr>
        <w:t xml:space="preserve">500 nájemních bytů v různých lokalitách a standardech. </w:t>
      </w:r>
    </w:p>
    <w:p w14:paraId="5D68BB99" w14:textId="563C7AA3" w:rsidR="00E13566" w:rsidRDefault="004F6F47" w:rsidP="004C2C04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br/>
      </w:r>
    </w:p>
    <w:p w14:paraId="3B864EA9" w14:textId="77777777" w:rsidR="009C572F" w:rsidRDefault="009C572F" w:rsidP="00E13566">
      <w:pPr>
        <w:spacing w:after="0"/>
        <w:rPr>
          <w:rFonts w:ascii="Arial" w:eastAsia="Calibri" w:hAnsi="Arial" w:cs="Arial"/>
          <w:b/>
          <w:u w:val="single"/>
        </w:rPr>
      </w:pPr>
    </w:p>
    <w:p w14:paraId="0098DDB8" w14:textId="7161444E" w:rsidR="00E13566" w:rsidRPr="0049520A" w:rsidRDefault="00E13566" w:rsidP="00E13566">
      <w:pPr>
        <w:spacing w:after="0"/>
        <w:rPr>
          <w:rFonts w:ascii="Arial" w:eastAsia="Calibri" w:hAnsi="Arial" w:cs="Arial"/>
          <w:b/>
          <w:u w:val="single"/>
        </w:rPr>
      </w:pPr>
      <w:r w:rsidRPr="0049520A">
        <w:rPr>
          <w:rFonts w:ascii="Arial" w:eastAsia="Calibri" w:hAnsi="Arial" w:cs="Arial"/>
          <w:b/>
          <w:u w:val="single"/>
        </w:rPr>
        <w:lastRenderedPageBreak/>
        <w:t>INFOGRAFIKA</w:t>
      </w:r>
    </w:p>
    <w:p w14:paraId="037E8A01" w14:textId="77777777" w:rsidR="00E13566" w:rsidRDefault="00E13566" w:rsidP="00E13566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2880F7A5" w14:textId="629DF4E9" w:rsidR="00E13566" w:rsidRDefault="00E13566" w:rsidP="00E13566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color w:val="002060"/>
        </w:rPr>
        <w:t>Průměrný věk mladých lidí, ve kterém opoušt</w:t>
      </w:r>
      <w:r w:rsidR="001A34C4">
        <w:rPr>
          <w:rFonts w:ascii="Arial" w:eastAsia="Calibri" w:hAnsi="Arial" w:cs="Arial"/>
          <w:b/>
          <w:i/>
          <w:color w:val="002060"/>
        </w:rPr>
        <w:t>í</w:t>
      </w:r>
      <w:r>
        <w:rPr>
          <w:rFonts w:ascii="Arial" w:eastAsia="Calibri" w:hAnsi="Arial" w:cs="Arial"/>
          <w:b/>
          <w:i/>
          <w:color w:val="002060"/>
        </w:rPr>
        <w:t xml:space="preserve"> domácnost rodičů</w:t>
      </w:r>
    </w:p>
    <w:p w14:paraId="76A94B83" w14:textId="04CFEF08" w:rsidR="00E13566" w:rsidRDefault="00E13566">
      <w:pPr>
        <w:suppressAutoHyphens w:val="0"/>
        <w:spacing w:line="259" w:lineRule="auto"/>
        <w:textAlignment w:val="auto"/>
        <w:rPr>
          <w:rFonts w:ascii="Arial" w:hAnsi="Arial" w:cs="Arial"/>
          <w:i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E38E6D1" wp14:editId="553C2E52">
            <wp:simplePos x="0" y="0"/>
            <wp:positionH relativeFrom="column">
              <wp:posOffset>-702310</wp:posOffset>
            </wp:positionH>
            <wp:positionV relativeFrom="paragraph">
              <wp:posOffset>243840</wp:posOffset>
            </wp:positionV>
            <wp:extent cx="721995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43" y="21479"/>
                <wp:lineTo x="21543" y="0"/>
                <wp:lineTo x="0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32218" w14:textId="77777777" w:rsidR="00E13566" w:rsidRDefault="00E13566">
      <w:pPr>
        <w:suppressAutoHyphens w:val="0"/>
        <w:spacing w:line="259" w:lineRule="auto"/>
        <w:textAlignment w:val="auto"/>
        <w:rPr>
          <w:rFonts w:ascii="Arial" w:hAnsi="Arial" w:cs="Arial"/>
          <w:i/>
          <w:sz w:val="20"/>
          <w:szCs w:val="20"/>
        </w:rPr>
      </w:pPr>
    </w:p>
    <w:p w14:paraId="524FAD9D" w14:textId="65FCEB2E" w:rsidR="00E13566" w:rsidRDefault="00E13566" w:rsidP="00E13566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color w:val="002060"/>
        </w:rPr>
        <w:t>Podíl mladých lidí ve věku 25</w:t>
      </w:r>
      <w:r w:rsidR="001D0C6E">
        <w:rPr>
          <w:rFonts w:ascii="Arial" w:eastAsia="Calibri" w:hAnsi="Arial" w:cs="Arial"/>
          <w:b/>
          <w:i/>
          <w:color w:val="002060"/>
        </w:rPr>
        <w:t>-</w:t>
      </w:r>
      <w:r>
        <w:rPr>
          <w:rFonts w:ascii="Arial" w:eastAsia="Calibri" w:hAnsi="Arial" w:cs="Arial"/>
          <w:b/>
          <w:i/>
          <w:color w:val="002060"/>
        </w:rPr>
        <w:t>34 let, kteří stále žijí ve společné domácnosti s rodiči</w:t>
      </w:r>
    </w:p>
    <w:p w14:paraId="36AD6908" w14:textId="24082BA3" w:rsidR="00E13566" w:rsidRDefault="00E13566" w:rsidP="00E13566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2877F2" wp14:editId="2D60E6C2">
            <wp:simplePos x="0" y="0"/>
            <wp:positionH relativeFrom="column">
              <wp:posOffset>-661670</wp:posOffset>
            </wp:positionH>
            <wp:positionV relativeFrom="paragraph">
              <wp:posOffset>254000</wp:posOffset>
            </wp:positionV>
            <wp:extent cx="7191375" cy="3733800"/>
            <wp:effectExtent l="0" t="0" r="9525" b="0"/>
            <wp:wrapTight wrapText="bothSides">
              <wp:wrapPolygon edited="0">
                <wp:start x="0" y="0"/>
                <wp:lineTo x="0" y="21490"/>
                <wp:lineTo x="21571" y="21490"/>
                <wp:lineTo x="21571" y="0"/>
                <wp:lineTo x="0" y="0"/>
              </wp:wrapPolygon>
            </wp:wrapTight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28E5B" w14:textId="698164E2" w:rsidR="00E13566" w:rsidRDefault="00E13566" w:rsidP="00E13566">
      <w:pPr>
        <w:spacing w:after="0"/>
        <w:rPr>
          <w:rFonts w:ascii="Arial" w:eastAsia="Calibri" w:hAnsi="Arial" w:cs="Arial"/>
          <w:b/>
          <w:i/>
          <w:color w:val="002060"/>
        </w:rPr>
      </w:pPr>
    </w:p>
    <w:p w14:paraId="4E71D8D9" w14:textId="67C4D298" w:rsidR="00E13566" w:rsidRDefault="00E13566">
      <w:pPr>
        <w:suppressAutoHyphens w:val="0"/>
        <w:spacing w:line="259" w:lineRule="auto"/>
        <w:textAlignment w:val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FFB1CE9" w14:textId="2453DB5F" w:rsidR="00BC320A" w:rsidRDefault="00BC320A" w:rsidP="00BC320A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color w:val="002060"/>
        </w:rPr>
        <w:lastRenderedPageBreak/>
        <w:t>Rozložení obyvatel České r</w:t>
      </w:r>
      <w:r w:rsidR="00DA34DC">
        <w:rPr>
          <w:rFonts w:ascii="Arial" w:eastAsia="Calibri" w:hAnsi="Arial" w:cs="Arial"/>
          <w:b/>
          <w:i/>
          <w:color w:val="002060"/>
        </w:rPr>
        <w:t>epubliky ve věku od 26 do 34 let</w:t>
      </w:r>
    </w:p>
    <w:p w14:paraId="40F66155" w14:textId="77777777" w:rsidR="00BC320A" w:rsidRDefault="00BC320A" w:rsidP="00BC320A">
      <w:pPr>
        <w:spacing w:after="0"/>
        <w:rPr>
          <w:rFonts w:ascii="Arial" w:eastAsia="Calibri" w:hAnsi="Arial" w:cs="Arial"/>
          <w:b/>
          <w:i/>
          <w:color w:val="002060"/>
        </w:rPr>
      </w:pPr>
    </w:p>
    <w:p w14:paraId="0296B040" w14:textId="1F233AB9" w:rsidR="00BC320A" w:rsidRDefault="00BC320A" w:rsidP="004C2C04">
      <w:pPr>
        <w:spacing w:after="0"/>
        <w:jc w:val="center"/>
        <w:rPr>
          <w:rFonts w:ascii="Arial" w:eastAsia="Calibri" w:hAnsi="Arial" w:cs="Arial"/>
          <w:b/>
          <w:i/>
          <w:color w:val="002060"/>
        </w:rPr>
      </w:pPr>
      <w:r w:rsidRPr="00BC320A">
        <w:rPr>
          <w:rFonts w:ascii="Arial" w:eastAsia="Calibri" w:hAnsi="Arial" w:cs="Arial"/>
          <w:b/>
          <w:i/>
          <w:noProof/>
          <w:color w:val="002060"/>
          <w:lang w:eastAsia="cs-CZ"/>
        </w:rPr>
        <w:drawing>
          <wp:inline distT="0" distB="0" distL="0" distR="0" wp14:anchorId="25C15A20" wp14:editId="3CEE5AEE">
            <wp:extent cx="4848225" cy="2828925"/>
            <wp:effectExtent l="0" t="0" r="9525" b="9525"/>
            <wp:docPr id="4" name="Obrázek 4" descr="C:\Users\denisa.kolarikova.WS008\Desktop\Nové grafy\Graf_rozložení obyvatel ČR_26-34 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Nové grafy\Graf_rozložení obyvatel ČR_26-34 l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9204" w14:textId="4244B053" w:rsidR="00BC320A" w:rsidRDefault="00BC320A" w:rsidP="00BC320A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color w:val="002060"/>
        </w:rPr>
        <w:br/>
      </w:r>
    </w:p>
    <w:p w14:paraId="0A2ED8ED" w14:textId="3FCF1133" w:rsidR="00BC320A" w:rsidRDefault="00BC320A" w:rsidP="00BC320A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color w:val="002060"/>
        </w:rPr>
        <w:t>Rozložení obyvatel v Praze ve věku od 26 do 34 let</w:t>
      </w:r>
    </w:p>
    <w:p w14:paraId="05D3A381" w14:textId="77777777" w:rsidR="00BC320A" w:rsidRDefault="00BC320A" w:rsidP="00BC320A">
      <w:pPr>
        <w:spacing w:after="0"/>
        <w:rPr>
          <w:rFonts w:ascii="Arial" w:eastAsia="Calibri" w:hAnsi="Arial" w:cs="Arial"/>
          <w:b/>
          <w:i/>
          <w:color w:val="002060"/>
        </w:rPr>
      </w:pPr>
    </w:p>
    <w:p w14:paraId="23343467" w14:textId="09DF4CC0" w:rsidR="00BC320A" w:rsidRDefault="00BC320A" w:rsidP="004C2C04">
      <w:pPr>
        <w:spacing w:after="0"/>
        <w:jc w:val="center"/>
        <w:rPr>
          <w:rFonts w:ascii="Arial" w:eastAsia="Calibri" w:hAnsi="Arial" w:cs="Arial"/>
          <w:b/>
          <w:i/>
          <w:color w:val="002060"/>
        </w:rPr>
      </w:pPr>
      <w:r w:rsidRPr="00BC320A">
        <w:rPr>
          <w:rFonts w:ascii="Arial" w:eastAsia="Calibri" w:hAnsi="Arial" w:cs="Arial"/>
          <w:b/>
          <w:i/>
          <w:noProof/>
          <w:color w:val="002060"/>
          <w:lang w:eastAsia="cs-CZ"/>
        </w:rPr>
        <w:drawing>
          <wp:inline distT="0" distB="0" distL="0" distR="0" wp14:anchorId="3EDDB2B2" wp14:editId="509BF3A8">
            <wp:extent cx="4838700" cy="2800350"/>
            <wp:effectExtent l="0" t="0" r="0" b="0"/>
            <wp:docPr id="5" name="Obrázek 5" descr="C:\Users\denisa.kolarikova.WS008\Desktop\Nové grafy\Graf_rozložení obyvatel v Praze_26-34 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Desktop\Nové grafy\Graf_rozložení obyvatel v Praze_26-34 l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31C5" w14:textId="77777777" w:rsidR="00BC320A" w:rsidRDefault="00BC320A" w:rsidP="00BC320A">
      <w:pPr>
        <w:spacing w:after="0"/>
        <w:rPr>
          <w:rFonts w:ascii="Arial" w:eastAsia="Calibri" w:hAnsi="Arial" w:cs="Arial"/>
          <w:b/>
          <w:i/>
          <w:color w:val="002060"/>
        </w:rPr>
      </w:pPr>
    </w:p>
    <w:p w14:paraId="3C36A2B3" w14:textId="77777777" w:rsidR="00BC320A" w:rsidRDefault="00BC320A">
      <w:pPr>
        <w:suppressAutoHyphens w:val="0"/>
        <w:spacing w:line="259" w:lineRule="auto"/>
        <w:textAlignment w:val="auto"/>
        <w:rPr>
          <w:rFonts w:ascii="Arial" w:hAnsi="Arial" w:cs="Arial"/>
          <w:i/>
          <w:sz w:val="20"/>
          <w:szCs w:val="20"/>
        </w:rPr>
      </w:pPr>
    </w:p>
    <w:p w14:paraId="65073959" w14:textId="77777777" w:rsidR="004C2C04" w:rsidRPr="00BA13DA" w:rsidRDefault="004C2C04" w:rsidP="004C2C04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13DA">
        <w:rPr>
          <w:rFonts w:ascii="Arial" w:hAnsi="Arial" w:cs="Arial"/>
          <w:b/>
          <w:sz w:val="20"/>
          <w:szCs w:val="20"/>
        </w:rPr>
        <w:t>O společnosti Zeitgeist Asset Management</w:t>
      </w:r>
    </w:p>
    <w:p w14:paraId="612FE864" w14:textId="77777777" w:rsidR="004C2C04" w:rsidRDefault="004C2C04" w:rsidP="004C2C04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A13DA">
        <w:rPr>
          <w:rFonts w:ascii="Arial" w:hAnsi="Arial" w:cs="Arial"/>
          <w:i/>
          <w:sz w:val="20"/>
          <w:szCs w:val="20"/>
        </w:rPr>
        <w:t>Zeitgeist Asset Management s kancelářemi v Praze, Varšavě a Berlíně se zabývá developerskou činností a správou nemovitostí pro soukromé a institucionální investory v České republice, Polsku,</w:t>
      </w:r>
      <w:r>
        <w:rPr>
          <w:rFonts w:ascii="Arial" w:hAnsi="Arial" w:cs="Arial"/>
          <w:i/>
          <w:sz w:val="20"/>
          <w:szCs w:val="20"/>
        </w:rPr>
        <w:t> </w:t>
      </w:r>
      <w:r w:rsidRPr="00BA13DA">
        <w:rPr>
          <w:rFonts w:ascii="Arial" w:hAnsi="Arial" w:cs="Arial"/>
          <w:i/>
          <w:sz w:val="20"/>
          <w:szCs w:val="20"/>
        </w:rPr>
        <w:t>Maďarsku a</w:t>
      </w:r>
      <w:r>
        <w:rPr>
          <w:rFonts w:ascii="Arial" w:hAnsi="Arial" w:cs="Arial"/>
          <w:i/>
          <w:sz w:val="20"/>
          <w:szCs w:val="20"/>
        </w:rPr>
        <w:t> </w:t>
      </w:r>
      <w:r w:rsidRPr="00BA13DA">
        <w:rPr>
          <w:rFonts w:ascii="Arial" w:hAnsi="Arial" w:cs="Arial"/>
          <w:i/>
          <w:sz w:val="20"/>
          <w:szCs w:val="20"/>
        </w:rPr>
        <w:t>Německu. Zeitge</w:t>
      </w:r>
      <w:r>
        <w:rPr>
          <w:rFonts w:ascii="Arial" w:hAnsi="Arial" w:cs="Arial"/>
          <w:i/>
          <w:sz w:val="20"/>
          <w:szCs w:val="20"/>
        </w:rPr>
        <w:t xml:space="preserve">ist v současnosti spravuje aktiva v hodnotě </w:t>
      </w:r>
      <w:r w:rsidRPr="00D544D5">
        <w:rPr>
          <w:rFonts w:ascii="Arial" w:hAnsi="Arial" w:cs="Arial"/>
          <w:i/>
          <w:sz w:val="20"/>
          <w:szCs w:val="20"/>
        </w:rPr>
        <w:t>424</w:t>
      </w:r>
      <w:r w:rsidRPr="00BA13DA">
        <w:rPr>
          <w:rFonts w:ascii="Arial" w:hAnsi="Arial" w:cs="Arial"/>
          <w:i/>
          <w:sz w:val="20"/>
          <w:szCs w:val="20"/>
        </w:rPr>
        <w:t xml:space="preserve"> mil. EUR.</w:t>
      </w:r>
    </w:p>
    <w:p w14:paraId="5D68BB9B" w14:textId="5690179F" w:rsidR="00474AC3" w:rsidRDefault="00BC320A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3D31965A" w14:textId="17C2290C" w:rsidR="00BC320A" w:rsidRDefault="00BC320A" w:rsidP="00BC32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E-mail: </w:t>
      </w:r>
      <w:hyperlink r:id="rId11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2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22DEB1A" w14:textId="77777777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3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470F9F2" w14:textId="77777777" w:rsidR="00BC320A" w:rsidRPr="004777CA" w:rsidRDefault="00BC320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0C81E6" w14:textId="0398ABAD" w:rsidR="00A551A2" w:rsidRP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309FB2FA" w14:textId="094F235E" w:rsid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Lukáš Drásta</w:t>
      </w:r>
    </w:p>
    <w:p w14:paraId="745CEBB3" w14:textId="77777777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of Business Development</w:t>
      </w:r>
    </w:p>
    <w:p w14:paraId="1E53A0DE" w14:textId="33A7F72F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4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lukas.drasta@zeitgeist.re</w:t>
        </w:r>
      </w:hyperlink>
    </w:p>
    <w:p w14:paraId="5D125FCD" w14:textId="6784ABE0" w:rsidR="00A551A2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5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67C29168" w14:textId="77777777" w:rsidR="0096410A" w:rsidRDefault="0096410A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</w:p>
    <w:p w14:paraId="12308C81" w14:textId="77777777" w:rsidR="0096410A" w:rsidRPr="004777CA" w:rsidRDefault="0096410A" w:rsidP="009641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ZEITRAUM s.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6B8AEA7B" w14:textId="77777777" w:rsidR="0096410A" w:rsidRDefault="0096410A" w:rsidP="009641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B5264AC" w14:textId="77777777" w:rsidR="0096410A" w:rsidRPr="004777CA" w:rsidRDefault="0096410A" w:rsidP="009641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4777CA">
        <w:rPr>
          <w:rFonts w:ascii="Arial" w:hAnsi="Arial" w:cs="Arial"/>
          <w:sz w:val="20"/>
          <w:szCs w:val="20"/>
        </w:rPr>
        <w:t>Managing 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ECFB38" w14:textId="77777777" w:rsidR="0096410A" w:rsidRPr="004777CA" w:rsidRDefault="0096410A" w:rsidP="009641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>
        <w:rPr>
          <w:rStyle w:val="Hypertextovodkaz"/>
          <w:rFonts w:ascii="Arial" w:hAnsi="Arial" w:cs="Arial"/>
          <w:sz w:val="20"/>
          <w:szCs w:val="20"/>
          <w:u w:val="none"/>
        </w:rPr>
        <w:tab/>
      </w:r>
      <w:r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486E59ED" w14:textId="77777777" w:rsidR="0096410A" w:rsidRDefault="0096410A" w:rsidP="0096410A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7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66648E" w16cid:durableId="20A3B8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8BD35" w14:textId="77777777" w:rsidR="00E551B5" w:rsidRDefault="00E551B5" w:rsidP="00BD62E2">
      <w:pPr>
        <w:spacing w:after="0" w:line="240" w:lineRule="auto"/>
      </w:pPr>
      <w:r>
        <w:separator/>
      </w:r>
    </w:p>
  </w:endnote>
  <w:endnote w:type="continuationSeparator" w:id="0">
    <w:p w14:paraId="1E4B08BB" w14:textId="77777777" w:rsidR="00E551B5" w:rsidRDefault="00E551B5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9BCFB" w14:textId="77777777" w:rsidR="00E551B5" w:rsidRDefault="00E551B5" w:rsidP="00BD62E2">
      <w:pPr>
        <w:spacing w:after="0" w:line="240" w:lineRule="auto"/>
      </w:pPr>
      <w:r>
        <w:separator/>
      </w:r>
    </w:p>
  </w:footnote>
  <w:footnote w:type="continuationSeparator" w:id="0">
    <w:p w14:paraId="59D94EA6" w14:textId="77777777" w:rsidR="00E551B5" w:rsidRDefault="00E551B5" w:rsidP="00BD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33865"/>
    <w:rsid w:val="00054584"/>
    <w:rsid w:val="00092920"/>
    <w:rsid w:val="00093D25"/>
    <w:rsid w:val="000C2CC5"/>
    <w:rsid w:val="000E47B6"/>
    <w:rsid w:val="000F30AE"/>
    <w:rsid w:val="00102452"/>
    <w:rsid w:val="00126F0A"/>
    <w:rsid w:val="001337C2"/>
    <w:rsid w:val="0014482A"/>
    <w:rsid w:val="00153EE4"/>
    <w:rsid w:val="00162E07"/>
    <w:rsid w:val="00162EFC"/>
    <w:rsid w:val="00167277"/>
    <w:rsid w:val="001708BB"/>
    <w:rsid w:val="001746FC"/>
    <w:rsid w:val="001837AB"/>
    <w:rsid w:val="00197DD3"/>
    <w:rsid w:val="001A34C4"/>
    <w:rsid w:val="001B522A"/>
    <w:rsid w:val="001D0C6E"/>
    <w:rsid w:val="001D2F4B"/>
    <w:rsid w:val="001E73D7"/>
    <w:rsid w:val="00221496"/>
    <w:rsid w:val="00231E61"/>
    <w:rsid w:val="00241BF6"/>
    <w:rsid w:val="002A0F25"/>
    <w:rsid w:val="002A3A92"/>
    <w:rsid w:val="002A6F49"/>
    <w:rsid w:val="002D5CE4"/>
    <w:rsid w:val="00300629"/>
    <w:rsid w:val="00305C9B"/>
    <w:rsid w:val="00324881"/>
    <w:rsid w:val="00324E3D"/>
    <w:rsid w:val="00324F56"/>
    <w:rsid w:val="00332131"/>
    <w:rsid w:val="00342F37"/>
    <w:rsid w:val="0037642A"/>
    <w:rsid w:val="003B3096"/>
    <w:rsid w:val="003C428C"/>
    <w:rsid w:val="003D76C1"/>
    <w:rsid w:val="00434FBE"/>
    <w:rsid w:val="00442387"/>
    <w:rsid w:val="00447D54"/>
    <w:rsid w:val="00452D41"/>
    <w:rsid w:val="00474AC3"/>
    <w:rsid w:val="004777CA"/>
    <w:rsid w:val="00482CC1"/>
    <w:rsid w:val="00495260"/>
    <w:rsid w:val="004B108A"/>
    <w:rsid w:val="004C2C04"/>
    <w:rsid w:val="004E0360"/>
    <w:rsid w:val="004E2C33"/>
    <w:rsid w:val="004E486D"/>
    <w:rsid w:val="004E73F0"/>
    <w:rsid w:val="004F6F47"/>
    <w:rsid w:val="00517263"/>
    <w:rsid w:val="005B004F"/>
    <w:rsid w:val="005B3B03"/>
    <w:rsid w:val="0060251F"/>
    <w:rsid w:val="006125EE"/>
    <w:rsid w:val="00626C32"/>
    <w:rsid w:val="0063460F"/>
    <w:rsid w:val="0068591F"/>
    <w:rsid w:val="006C279C"/>
    <w:rsid w:val="006E4081"/>
    <w:rsid w:val="007204C2"/>
    <w:rsid w:val="00722A51"/>
    <w:rsid w:val="00755BD2"/>
    <w:rsid w:val="00763FCA"/>
    <w:rsid w:val="00764266"/>
    <w:rsid w:val="007B0CAA"/>
    <w:rsid w:val="007B2CDB"/>
    <w:rsid w:val="007C0838"/>
    <w:rsid w:val="00832B17"/>
    <w:rsid w:val="00834135"/>
    <w:rsid w:val="008661A4"/>
    <w:rsid w:val="00875FA4"/>
    <w:rsid w:val="0088521D"/>
    <w:rsid w:val="008B64BD"/>
    <w:rsid w:val="008D139E"/>
    <w:rsid w:val="008D32CE"/>
    <w:rsid w:val="008F057D"/>
    <w:rsid w:val="00906A28"/>
    <w:rsid w:val="0091621F"/>
    <w:rsid w:val="009404F2"/>
    <w:rsid w:val="00941296"/>
    <w:rsid w:val="00942780"/>
    <w:rsid w:val="00956FA9"/>
    <w:rsid w:val="0096410A"/>
    <w:rsid w:val="00967A32"/>
    <w:rsid w:val="009824EB"/>
    <w:rsid w:val="00984707"/>
    <w:rsid w:val="009B6C8D"/>
    <w:rsid w:val="009B6CEF"/>
    <w:rsid w:val="009C572F"/>
    <w:rsid w:val="009D004F"/>
    <w:rsid w:val="009D228E"/>
    <w:rsid w:val="00A00452"/>
    <w:rsid w:val="00A22555"/>
    <w:rsid w:val="00A245BD"/>
    <w:rsid w:val="00A34657"/>
    <w:rsid w:val="00A37D1F"/>
    <w:rsid w:val="00A551A2"/>
    <w:rsid w:val="00AA16D2"/>
    <w:rsid w:val="00AA182E"/>
    <w:rsid w:val="00AB33E0"/>
    <w:rsid w:val="00AD7166"/>
    <w:rsid w:val="00B223AA"/>
    <w:rsid w:val="00B61390"/>
    <w:rsid w:val="00B6772A"/>
    <w:rsid w:val="00BC320A"/>
    <w:rsid w:val="00BD62E2"/>
    <w:rsid w:val="00BE1CA7"/>
    <w:rsid w:val="00BE5F95"/>
    <w:rsid w:val="00C2743F"/>
    <w:rsid w:val="00C41299"/>
    <w:rsid w:val="00C43EE1"/>
    <w:rsid w:val="00C766B2"/>
    <w:rsid w:val="00CD3E18"/>
    <w:rsid w:val="00CD72A2"/>
    <w:rsid w:val="00CE19E7"/>
    <w:rsid w:val="00D130C9"/>
    <w:rsid w:val="00D2141A"/>
    <w:rsid w:val="00D31C8A"/>
    <w:rsid w:val="00D43396"/>
    <w:rsid w:val="00D6036F"/>
    <w:rsid w:val="00D65851"/>
    <w:rsid w:val="00D876D5"/>
    <w:rsid w:val="00D94784"/>
    <w:rsid w:val="00DA34DC"/>
    <w:rsid w:val="00DE2EC3"/>
    <w:rsid w:val="00DE36F0"/>
    <w:rsid w:val="00E13566"/>
    <w:rsid w:val="00E551B5"/>
    <w:rsid w:val="00E7314C"/>
    <w:rsid w:val="00E941FA"/>
    <w:rsid w:val="00EA35BF"/>
    <w:rsid w:val="00EF2AB6"/>
    <w:rsid w:val="00F1142B"/>
    <w:rsid w:val="00F212C3"/>
    <w:rsid w:val="00F26D08"/>
    <w:rsid w:val="00F53643"/>
    <w:rsid w:val="00FA4D19"/>
    <w:rsid w:val="00FD266D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crestcom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://www.zeitraum.r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dena.noack@zeitgeist.re" TargetMode="Externa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zeitgeist.re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lukas.drasta@zeitgeist.r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nisa.kolarikova.WS008\Desktop\Nov&#233;%20grafy\Grafy_24_5_2019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nisa.kolarikova.WS008\Desktop\Nov&#233;%20grafy\Grafy_24_5_2019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Průměrný věk</a:t>
            </a:r>
            <a:r>
              <a:rPr lang="cs-CZ" baseline="0"/>
              <a:t> mladých lidí, ve kterém opouští domácnost rodičů</a:t>
            </a:r>
            <a:br>
              <a:rPr lang="cs-CZ" baseline="0"/>
            </a:br>
            <a:endParaRPr lang="en-US"/>
          </a:p>
        </c:rich>
      </c:tx>
      <c:layout>
        <c:manualLayout>
          <c:xMode val="edge"/>
          <c:yMode val="edge"/>
          <c:x val="0.16311345646437997"/>
          <c:y val="5.2434456928838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List1!$E$5</c:f>
              <c:strCache>
                <c:ptCount val="1"/>
                <c:pt idx="0">
                  <c:v>Věk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E9-46E9-9CB6-239214F5EC89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E9-46E9-9CB6-239214F5EC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List1!$D$6:$D$34</c:f>
              <c:strCache>
                <c:ptCount val="29"/>
                <c:pt idx="0">
                  <c:v>Švédsko</c:v>
                </c:pt>
                <c:pt idx="1">
                  <c:v>Lucembursko</c:v>
                </c:pt>
                <c:pt idx="2">
                  <c:v>Dánsko</c:v>
                </c:pt>
                <c:pt idx="3">
                  <c:v>Finsko</c:v>
                </c:pt>
                <c:pt idx="4">
                  <c:v>Estonsko</c:v>
                </c:pt>
                <c:pt idx="5">
                  <c:v>Německo</c:v>
                </c:pt>
                <c:pt idx="6">
                  <c:v>Francie</c:v>
                </c:pt>
                <c:pt idx="7">
                  <c:v>Nizozemsko</c:v>
                </c:pt>
                <c:pt idx="8">
                  <c:v>Velká Británie</c:v>
                </c:pt>
                <c:pt idx="9">
                  <c:v>Belgie</c:v>
                </c:pt>
                <c:pt idx="10">
                  <c:v>Rakousko</c:v>
                </c:pt>
                <c:pt idx="11">
                  <c:v>Litva</c:v>
                </c:pt>
                <c:pt idx="12">
                  <c:v>Evropská unie</c:v>
                </c:pt>
                <c:pt idx="13">
                  <c:v>Česká republika</c:v>
                </c:pt>
                <c:pt idx="14">
                  <c:v>Irsko</c:v>
                </c:pt>
                <c:pt idx="15">
                  <c:v>Lotyšsko</c:v>
                </c:pt>
                <c:pt idx="16">
                  <c:v>Maďarsko</c:v>
                </c:pt>
                <c:pt idx="17">
                  <c:v>Kypr</c:v>
                </c:pt>
                <c:pt idx="18">
                  <c:v>Polsko</c:v>
                </c:pt>
                <c:pt idx="19">
                  <c:v>Rumunsko</c:v>
                </c:pt>
                <c:pt idx="20">
                  <c:v>Slovinsko</c:v>
                </c:pt>
                <c:pt idx="21">
                  <c:v>Portugalsko</c:v>
                </c:pt>
                <c:pt idx="22">
                  <c:v>Řecko</c:v>
                </c:pt>
                <c:pt idx="23">
                  <c:v>Španělsko</c:v>
                </c:pt>
                <c:pt idx="24">
                  <c:v>Bulharsko</c:v>
                </c:pt>
                <c:pt idx="25">
                  <c:v>Itálie</c:v>
                </c:pt>
                <c:pt idx="26">
                  <c:v>Malta</c:v>
                </c:pt>
                <c:pt idx="27">
                  <c:v>Slovensko</c:v>
                </c:pt>
                <c:pt idx="28">
                  <c:v>Chorvatsko</c:v>
                </c:pt>
              </c:strCache>
            </c:strRef>
          </c:cat>
          <c:val>
            <c:numRef>
              <c:f>List1!$E$6:$E$34</c:f>
              <c:numCache>
                <c:formatCode>0.0</c:formatCode>
                <c:ptCount val="29"/>
                <c:pt idx="0" formatCode="General">
                  <c:v>18.5</c:v>
                </c:pt>
                <c:pt idx="1">
                  <c:v>20.100000000000001</c:v>
                </c:pt>
                <c:pt idx="2">
                  <c:v>21.1</c:v>
                </c:pt>
                <c:pt idx="3">
                  <c:v>22</c:v>
                </c:pt>
                <c:pt idx="4">
                  <c:v>22.2</c:v>
                </c:pt>
                <c:pt idx="5">
                  <c:v>23.7</c:v>
                </c:pt>
                <c:pt idx="6">
                  <c:v>23.7</c:v>
                </c:pt>
                <c:pt idx="7">
                  <c:v>23.7</c:v>
                </c:pt>
                <c:pt idx="8">
                  <c:v>24.7</c:v>
                </c:pt>
                <c:pt idx="9">
                  <c:v>25.2</c:v>
                </c:pt>
                <c:pt idx="10">
                  <c:v>25.6</c:v>
                </c:pt>
                <c:pt idx="11">
                  <c:v>25.7</c:v>
                </c:pt>
                <c:pt idx="12">
                  <c:v>26</c:v>
                </c:pt>
                <c:pt idx="13">
                  <c:v>26.2</c:v>
                </c:pt>
                <c:pt idx="14">
                  <c:v>26.5</c:v>
                </c:pt>
                <c:pt idx="15">
                  <c:v>26.6</c:v>
                </c:pt>
                <c:pt idx="16">
                  <c:v>27.1</c:v>
                </c:pt>
                <c:pt idx="17">
                  <c:v>27.4</c:v>
                </c:pt>
                <c:pt idx="18">
                  <c:v>27.6</c:v>
                </c:pt>
                <c:pt idx="19">
                  <c:v>28.2</c:v>
                </c:pt>
                <c:pt idx="20">
                  <c:v>28.2</c:v>
                </c:pt>
                <c:pt idx="21">
                  <c:v>28.9</c:v>
                </c:pt>
                <c:pt idx="22">
                  <c:v>29.3</c:v>
                </c:pt>
                <c:pt idx="23">
                  <c:v>29.5</c:v>
                </c:pt>
                <c:pt idx="24">
                  <c:v>29.6</c:v>
                </c:pt>
                <c:pt idx="25">
                  <c:v>30.1</c:v>
                </c:pt>
                <c:pt idx="26">
                  <c:v>30.7</c:v>
                </c:pt>
                <c:pt idx="27">
                  <c:v>30.9</c:v>
                </c:pt>
                <c:pt idx="28">
                  <c:v>31.8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E9-46E9-9CB6-239214F5EC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8801520"/>
        <c:axId val="292222808"/>
      </c:barChart>
      <c:catAx>
        <c:axId val="388801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ZEMĚ</a:t>
                </a:r>
              </a:p>
            </c:rich>
          </c:tx>
          <c:layout>
            <c:manualLayout>
              <c:xMode val="edge"/>
              <c:yMode val="edge"/>
              <c:x val="0.48146129361267714"/>
              <c:y val="0.909596726640272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2222808"/>
        <c:crosses val="autoZero"/>
        <c:auto val="1"/>
        <c:lblAlgn val="ctr"/>
        <c:lblOffset val="100"/>
        <c:noMultiLvlLbl val="0"/>
      </c:catAx>
      <c:valAx>
        <c:axId val="292222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VĚK</a:t>
                </a:r>
              </a:p>
            </c:rich>
          </c:tx>
          <c:layout>
            <c:manualLayout>
              <c:xMode val="edge"/>
              <c:yMode val="edge"/>
              <c:x val="8.5251480455728907E-3"/>
              <c:y val="0.421804002259539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880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Podíl mladých lidí ve věku </a:t>
            </a:r>
            <a:r>
              <a:rPr lang="cs-CZ"/>
              <a:t>25 </a:t>
            </a:r>
            <a:r>
              <a:rPr lang="en-US"/>
              <a:t>- 34 let, kteří stále žijí ve společné domácnosti</a:t>
            </a:r>
            <a:r>
              <a:rPr lang="cs-CZ"/>
              <a:t>    </a:t>
            </a:r>
            <a:r>
              <a:rPr lang="en-US"/>
              <a:t> s rodiči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List1!$B$2:$B$5</c:f>
              <c:strCache>
                <c:ptCount val="4"/>
                <c:pt idx="0">
                  <c:v>Podíl mladých lidí ve věku 18 - 34 let, kteří stále žijí ve společné domácnosti s rodiči</c:v>
                </c:pt>
                <c:pt idx="3">
                  <c:v>Podíl v procentech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0070C0"/>
              </a:solidFill>
              <a:ln w="9525" cap="flat" cmpd="sng" algn="ctr">
                <a:solidFill>
                  <a:srgbClr val="0070C0"/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A0-4D2E-A0C5-E0E37624C250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rgbClr val="FF0000"/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A0-4D2E-A0C5-E0E37624C2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List1!$A$6:$A$34</c:f>
              <c:strCache>
                <c:ptCount val="29"/>
                <c:pt idx="0">
                  <c:v>Dánsko</c:v>
                </c:pt>
                <c:pt idx="1">
                  <c:v>Finsko</c:v>
                </c:pt>
                <c:pt idx="2">
                  <c:v>Švédsko</c:v>
                </c:pt>
                <c:pt idx="3">
                  <c:v>Nizozemsko</c:v>
                </c:pt>
                <c:pt idx="4">
                  <c:v>Francie</c:v>
                </c:pt>
                <c:pt idx="5">
                  <c:v>Velká Británie</c:v>
                </c:pt>
                <c:pt idx="6">
                  <c:v>Německo</c:v>
                </c:pt>
                <c:pt idx="7">
                  <c:v>Rakousko</c:v>
                </c:pt>
                <c:pt idx="8">
                  <c:v>Estonsko</c:v>
                </c:pt>
                <c:pt idx="9">
                  <c:v>Belgie</c:v>
                </c:pt>
                <c:pt idx="10">
                  <c:v>Evropská unie</c:v>
                </c:pt>
                <c:pt idx="11">
                  <c:v>Irsko</c:v>
                </c:pt>
                <c:pt idx="12">
                  <c:v>Litva</c:v>
                </c:pt>
                <c:pt idx="13">
                  <c:v>Lucembursko</c:v>
                </c:pt>
                <c:pt idx="14">
                  <c:v>Česká republika</c:v>
                </c:pt>
                <c:pt idx="15">
                  <c:v>Lotyšsko</c:v>
                </c:pt>
                <c:pt idx="16">
                  <c:v>Kypr</c:v>
                </c:pt>
                <c:pt idx="17">
                  <c:v>Maďarsko</c:v>
                </c:pt>
                <c:pt idx="18">
                  <c:v>Slovinsko</c:v>
                </c:pt>
                <c:pt idx="19">
                  <c:v>Rumunsko</c:v>
                </c:pt>
                <c:pt idx="20">
                  <c:v>Španělsko</c:v>
                </c:pt>
                <c:pt idx="21">
                  <c:v>Polsko</c:v>
                </c:pt>
                <c:pt idx="22">
                  <c:v>Portugalsko</c:v>
                </c:pt>
                <c:pt idx="23">
                  <c:v>Bulharsko</c:v>
                </c:pt>
                <c:pt idx="24">
                  <c:v>Malta</c:v>
                </c:pt>
                <c:pt idx="25">
                  <c:v>Itálie</c:v>
                </c:pt>
                <c:pt idx="26">
                  <c:v>Řecko</c:v>
                </c:pt>
                <c:pt idx="27">
                  <c:v>Slovensko</c:v>
                </c:pt>
                <c:pt idx="28">
                  <c:v>Chorvatsko</c:v>
                </c:pt>
              </c:strCache>
            </c:strRef>
          </c:cat>
          <c:val>
            <c:numRef>
              <c:f>List1!$B$6:$B$34</c:f>
              <c:numCache>
                <c:formatCode>0.0</c:formatCode>
                <c:ptCount val="29"/>
                <c:pt idx="0">
                  <c:v>3.2</c:v>
                </c:pt>
                <c:pt idx="1">
                  <c:v>4.7</c:v>
                </c:pt>
                <c:pt idx="2">
                  <c:v>6</c:v>
                </c:pt>
                <c:pt idx="3">
                  <c:v>11.4</c:v>
                </c:pt>
                <c:pt idx="4">
                  <c:v>13.5</c:v>
                </c:pt>
                <c:pt idx="5">
                  <c:v>14.9</c:v>
                </c:pt>
                <c:pt idx="6">
                  <c:v>17.3</c:v>
                </c:pt>
                <c:pt idx="7">
                  <c:v>17.5</c:v>
                </c:pt>
                <c:pt idx="8">
                  <c:v>20.2</c:v>
                </c:pt>
                <c:pt idx="9">
                  <c:v>21.5</c:v>
                </c:pt>
                <c:pt idx="10">
                  <c:v>28.5</c:v>
                </c:pt>
                <c:pt idx="11">
                  <c:v>28.5</c:v>
                </c:pt>
                <c:pt idx="12">
                  <c:v>29.1</c:v>
                </c:pt>
                <c:pt idx="13">
                  <c:v>31</c:v>
                </c:pt>
                <c:pt idx="14">
                  <c:v>32</c:v>
                </c:pt>
                <c:pt idx="15">
                  <c:v>33.200000000000003</c:v>
                </c:pt>
                <c:pt idx="16">
                  <c:v>33.700000000000003</c:v>
                </c:pt>
                <c:pt idx="17">
                  <c:v>40.799999999999997</c:v>
                </c:pt>
                <c:pt idx="18">
                  <c:v>42</c:v>
                </c:pt>
                <c:pt idx="19">
                  <c:v>42.2</c:v>
                </c:pt>
                <c:pt idx="20">
                  <c:v>42.8</c:v>
                </c:pt>
                <c:pt idx="21">
                  <c:v>44.7</c:v>
                </c:pt>
                <c:pt idx="22">
                  <c:v>45.6</c:v>
                </c:pt>
                <c:pt idx="23">
                  <c:v>46.2</c:v>
                </c:pt>
                <c:pt idx="24">
                  <c:v>48.2</c:v>
                </c:pt>
                <c:pt idx="25">
                  <c:v>49.3</c:v>
                </c:pt>
                <c:pt idx="26">
                  <c:v>56.3</c:v>
                </c:pt>
                <c:pt idx="27">
                  <c:v>57</c:v>
                </c:pt>
                <c:pt idx="28">
                  <c:v>59.7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DA0-4D2E-A0C5-E0E37624C2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0736560"/>
        <c:axId val="293265120"/>
      </c:barChart>
      <c:catAx>
        <c:axId val="39073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země</a:t>
                </a:r>
              </a:p>
              <a:p>
                <a:pPr>
                  <a:defRPr/>
                </a:pPr>
                <a:endParaRPr lang="cs-CZ"/>
              </a:p>
            </c:rich>
          </c:tx>
          <c:layout>
            <c:manualLayout>
              <c:xMode val="edge"/>
              <c:yMode val="edge"/>
              <c:x val="0.519242975204945"/>
              <c:y val="0.920768277571251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3265120"/>
        <c:crosses val="autoZero"/>
        <c:auto val="1"/>
        <c:lblAlgn val="ctr"/>
        <c:lblOffset val="100"/>
        <c:noMultiLvlLbl val="0"/>
      </c:catAx>
      <c:valAx>
        <c:axId val="29326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podíl v procentech</a:t>
                </a:r>
              </a:p>
              <a:p>
                <a:pPr>
                  <a:defRPr/>
                </a:pP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073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0.75192</cdr:x>
      <cdr:y>0.91011</cdr:y>
    </cdr:from>
    <cdr:to>
      <cdr:x>0.99105</cdr:x>
      <cdr:y>0.98034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600702" y="3086100"/>
          <a:ext cx="1781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0.78517</cdr:x>
      <cdr:y>0.90169</cdr:y>
    </cdr:from>
    <cdr:to>
      <cdr:x>0.99361</cdr:x>
      <cdr:y>0.98034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5848352" y="3057526"/>
          <a:ext cx="15525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0.71768</cdr:x>
      <cdr:y>0.91292</cdr:y>
    </cdr:from>
    <cdr:to>
      <cdr:x>1</cdr:x>
      <cdr:y>0.98596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5181600" y="3095620"/>
          <a:ext cx="2038350" cy="2476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Zdroj: Eurostat,</a:t>
          </a:r>
          <a:r>
            <a:rPr lang="cs-CZ" sz="1100" baseline="0"/>
            <a:t> data za rok 2018</a:t>
          </a:r>
          <a:endParaRPr lang="cs-CZ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0.70861</cdr:x>
      <cdr:y>0.92072</cdr:y>
    </cdr:from>
    <cdr:to>
      <cdr:x>0.99388</cdr:x>
      <cdr:y>0.9949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095876" y="3437795"/>
          <a:ext cx="2051456" cy="276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Zdroj: Eurostat, data za rok 2017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5</cp:revision>
  <cp:lastPrinted>2019-06-06T14:38:00Z</cp:lastPrinted>
  <dcterms:created xsi:type="dcterms:W3CDTF">2019-06-24T20:05:00Z</dcterms:created>
  <dcterms:modified xsi:type="dcterms:W3CDTF">2019-06-26T12:12:00Z</dcterms:modified>
</cp:coreProperties>
</file>