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E713CB" w14:textId="77777777" w:rsidR="00811A55" w:rsidRPr="00BB5B91" w:rsidRDefault="00811A55">
      <w:pPr>
        <w:pStyle w:val="MainText"/>
        <w:spacing w:line="276" w:lineRule="auto"/>
        <w:ind w:left="0"/>
        <w:rPr>
          <w:rFonts w:ascii="Calibri" w:eastAsia="Calibri" w:hAnsi="Calibri" w:cs="Calibri"/>
          <w:lang w:val="cs-CZ"/>
        </w:rPr>
      </w:pPr>
    </w:p>
    <w:p w14:paraId="334F77B7" w14:textId="12281862" w:rsidR="001F54B0" w:rsidRPr="00DC4637" w:rsidRDefault="001E33C0">
      <w:pPr>
        <w:spacing w:line="276" w:lineRule="auto"/>
        <w:jc w:val="center"/>
        <w:rPr>
          <w:rFonts w:ascii="Calibri" w:eastAsia="Calibri" w:hAnsi="Calibri" w:cs="Calibri"/>
          <w:b/>
          <w:bCs/>
          <w:sz w:val="28"/>
          <w:szCs w:val="28"/>
          <w:lang w:val="en-GB"/>
        </w:rPr>
      </w:pPr>
      <w:r>
        <w:rPr>
          <w:rFonts w:ascii="Calibri" w:eastAsia="Calibri" w:hAnsi="Calibri" w:cs="Calibri"/>
          <w:b/>
          <w:bCs/>
          <w:sz w:val="28"/>
          <w:szCs w:val="28"/>
          <w:lang w:val="cs-CZ"/>
        </w:rPr>
        <w:br/>
      </w:r>
      <w:r w:rsidR="00DC4637">
        <w:rPr>
          <w:rFonts w:ascii="Calibri" w:eastAsia="Calibri" w:hAnsi="Calibri" w:cs="Calibri"/>
          <w:b/>
          <w:bCs/>
          <w:sz w:val="28"/>
          <w:szCs w:val="28"/>
          <w:lang w:val="en-GB"/>
        </w:rPr>
        <w:t>How do Central Europeans</w:t>
      </w:r>
      <w:r w:rsidR="000B6087">
        <w:rPr>
          <w:rFonts w:ascii="Calibri" w:eastAsia="Calibri" w:hAnsi="Calibri" w:cs="Calibri"/>
          <w:b/>
          <w:bCs/>
          <w:sz w:val="28"/>
          <w:szCs w:val="28"/>
          <w:lang w:val="en-GB"/>
        </w:rPr>
        <w:t xml:space="preserve"> shop</w:t>
      </w:r>
      <w:r w:rsidR="001F54B0" w:rsidRPr="00DC4637">
        <w:rPr>
          <w:rFonts w:ascii="Calibri" w:eastAsia="Calibri" w:hAnsi="Calibri" w:cs="Calibri"/>
          <w:b/>
          <w:bCs/>
          <w:sz w:val="28"/>
          <w:szCs w:val="28"/>
          <w:lang w:val="en-GB"/>
        </w:rPr>
        <w:t xml:space="preserve">? </w:t>
      </w:r>
      <w:r w:rsidR="00DC4637">
        <w:rPr>
          <w:rFonts w:ascii="Calibri" w:eastAsia="Calibri" w:hAnsi="Calibri" w:cs="Calibri"/>
          <w:b/>
          <w:bCs/>
          <w:sz w:val="28"/>
          <w:szCs w:val="28"/>
          <w:lang w:val="en-GB"/>
        </w:rPr>
        <w:t>The CBRE Study brings a unique detailed probe</w:t>
      </w:r>
    </w:p>
    <w:p w14:paraId="0B7E3905" w14:textId="26021A11" w:rsidR="00811A55" w:rsidRPr="00DC4637" w:rsidRDefault="00811A55" w:rsidP="001F54B0">
      <w:pPr>
        <w:spacing w:line="276" w:lineRule="auto"/>
        <w:jc w:val="center"/>
        <w:rPr>
          <w:rFonts w:ascii="Calibri" w:eastAsia="Calibri" w:hAnsi="Calibri" w:cs="Calibri"/>
          <w:b/>
          <w:bCs/>
          <w:sz w:val="28"/>
          <w:szCs w:val="28"/>
          <w:lang w:val="en-GB"/>
        </w:rPr>
      </w:pPr>
    </w:p>
    <w:p w14:paraId="27BCE69F" w14:textId="681850B2" w:rsidR="00D6002D" w:rsidRPr="00DC4637" w:rsidRDefault="00674910" w:rsidP="00342800">
      <w:pPr>
        <w:jc w:val="both"/>
        <w:rPr>
          <w:rFonts w:ascii="Calibri" w:eastAsia="Calibri" w:hAnsi="Calibri" w:cs="Calibri"/>
          <w:bCs/>
          <w:lang w:val="en-GB"/>
        </w:rPr>
      </w:pPr>
      <w:r w:rsidRPr="00DC4637">
        <w:rPr>
          <w:rFonts w:ascii="Calibri" w:eastAsia="Calibri" w:hAnsi="Calibri" w:cs="Calibri"/>
          <w:lang w:val="en-GB"/>
        </w:rPr>
        <w:t>Pra</w:t>
      </w:r>
      <w:r w:rsidR="00DC4637">
        <w:rPr>
          <w:rFonts w:ascii="Calibri" w:eastAsia="Calibri" w:hAnsi="Calibri" w:cs="Calibri"/>
          <w:lang w:val="en-GB"/>
        </w:rPr>
        <w:t>gue,</w:t>
      </w:r>
      <w:r w:rsidRPr="00DC4637">
        <w:rPr>
          <w:rFonts w:ascii="Calibri" w:eastAsia="Calibri" w:hAnsi="Calibri" w:cs="Calibri"/>
          <w:lang w:val="en-GB"/>
        </w:rPr>
        <w:t xml:space="preserve"> </w:t>
      </w:r>
      <w:r w:rsidR="000B6087">
        <w:rPr>
          <w:rFonts w:ascii="Calibri" w:eastAsia="Calibri" w:hAnsi="Calibri" w:cs="Calibri"/>
          <w:lang w:val="en-GB"/>
        </w:rPr>
        <w:t>7</w:t>
      </w:r>
      <w:r w:rsidR="00DC4637" w:rsidRPr="00DC4637">
        <w:rPr>
          <w:rFonts w:ascii="Calibri" w:eastAsia="Calibri" w:hAnsi="Calibri" w:cs="Calibri"/>
          <w:vertAlign w:val="superscript"/>
          <w:lang w:val="en-GB"/>
        </w:rPr>
        <w:t>th</w:t>
      </w:r>
      <w:r w:rsidR="00DC4637">
        <w:rPr>
          <w:rFonts w:ascii="Calibri" w:eastAsia="Calibri" w:hAnsi="Calibri" w:cs="Calibri"/>
          <w:lang w:val="en-GB"/>
        </w:rPr>
        <w:t xml:space="preserve"> </w:t>
      </w:r>
      <w:r w:rsidR="000B6087">
        <w:rPr>
          <w:rFonts w:ascii="Calibri" w:eastAsia="Calibri" w:hAnsi="Calibri" w:cs="Calibri"/>
          <w:lang w:val="en-GB"/>
        </w:rPr>
        <w:t>October</w:t>
      </w:r>
      <w:r w:rsidRPr="00DC4637">
        <w:rPr>
          <w:rFonts w:ascii="Calibri" w:eastAsia="Calibri" w:hAnsi="Calibri" w:cs="Calibri"/>
          <w:lang w:val="en-GB"/>
        </w:rPr>
        <w:t xml:space="preserve"> 2019 —</w:t>
      </w:r>
      <w:r w:rsidR="004231E2" w:rsidRPr="00DC4637">
        <w:rPr>
          <w:rFonts w:ascii="Calibri" w:eastAsia="Calibri" w:hAnsi="Calibri" w:cs="Calibri"/>
          <w:lang w:val="en-GB"/>
        </w:rPr>
        <w:t xml:space="preserve"> CBRE, </w:t>
      </w:r>
      <w:r w:rsidR="00805E66">
        <w:rPr>
          <w:rFonts w:ascii="Calibri" w:eastAsia="Calibri" w:hAnsi="Calibri" w:cs="Calibri"/>
          <w:lang w:val="en-GB"/>
        </w:rPr>
        <w:t>a global leader in the field of commercial real estate services</w:t>
      </w:r>
      <w:r w:rsidR="00F74CA1">
        <w:rPr>
          <w:rFonts w:ascii="Calibri" w:eastAsia="Calibri" w:hAnsi="Calibri" w:cs="Calibri"/>
          <w:lang w:val="en-GB"/>
        </w:rPr>
        <w:t xml:space="preserve"> has conducted an extensive</w:t>
      </w:r>
      <w:r w:rsidR="00C2252C">
        <w:rPr>
          <w:rFonts w:ascii="Calibri" w:eastAsia="Calibri" w:hAnsi="Calibri" w:cs="Calibri"/>
          <w:lang w:val="en-GB"/>
        </w:rPr>
        <w:t xml:space="preserve"> survey of retail real estate market focusing on the CEE region. </w:t>
      </w:r>
      <w:r w:rsidR="009D209C">
        <w:rPr>
          <w:rFonts w:ascii="Calibri" w:eastAsia="Calibri" w:hAnsi="Calibri" w:cs="Calibri"/>
          <w:lang w:val="en-GB"/>
        </w:rPr>
        <w:t xml:space="preserve">The result is unique data </w:t>
      </w:r>
      <w:r w:rsidR="0026093A">
        <w:rPr>
          <w:rFonts w:ascii="Calibri" w:eastAsia="Calibri" w:hAnsi="Calibri" w:cs="Calibri"/>
          <w:lang w:val="en-GB"/>
        </w:rPr>
        <w:t xml:space="preserve">arising </w:t>
      </w:r>
      <w:r w:rsidR="0026093A">
        <w:rPr>
          <w:rFonts w:ascii="Calibri" w:eastAsia="Calibri" w:hAnsi="Calibri" w:cs="Calibri"/>
          <w:b/>
          <w:lang w:val="en-GB"/>
        </w:rPr>
        <w:t>from the analysis of 180 regional</w:t>
      </w:r>
      <w:r w:rsidR="00D203DA">
        <w:rPr>
          <w:rFonts w:ascii="Calibri" w:eastAsia="Calibri" w:hAnsi="Calibri" w:cs="Calibri"/>
          <w:b/>
          <w:lang w:val="en-GB"/>
        </w:rPr>
        <w:t xml:space="preserve"> shopping centres in the Czech Republic, Poland and Slovakia</w:t>
      </w:r>
      <w:r w:rsidR="00842A4A">
        <w:rPr>
          <w:rFonts w:ascii="Calibri" w:eastAsia="Calibri" w:hAnsi="Calibri" w:cs="Calibri"/>
          <w:b/>
          <w:lang w:val="en-GB"/>
        </w:rPr>
        <w:t xml:space="preserve">, which represent almost </w:t>
      </w:r>
      <w:r w:rsidR="00842A4A">
        <w:rPr>
          <w:rFonts w:ascii="Calibri" w:eastAsia="Calibri" w:hAnsi="Calibri" w:cs="Calibri"/>
          <w:b/>
          <w:bCs/>
          <w:lang w:val="en-GB"/>
        </w:rPr>
        <w:t>4.5 million</w:t>
      </w:r>
      <w:r w:rsidR="00FF3232">
        <w:rPr>
          <w:rFonts w:ascii="Calibri" w:eastAsia="Calibri" w:hAnsi="Calibri" w:cs="Calibri"/>
          <w:b/>
          <w:bCs/>
          <w:lang w:val="en-GB"/>
        </w:rPr>
        <w:t xml:space="preserve"> </w:t>
      </w:r>
      <w:proofErr w:type="spellStart"/>
      <w:r w:rsidR="00FF3232">
        <w:rPr>
          <w:rFonts w:ascii="Calibri" w:eastAsia="Calibri" w:hAnsi="Calibri" w:cs="Calibri"/>
          <w:b/>
          <w:bCs/>
          <w:lang w:val="en-GB"/>
        </w:rPr>
        <w:t>sqm</w:t>
      </w:r>
      <w:proofErr w:type="spellEnd"/>
      <w:r w:rsidR="00FF3232">
        <w:rPr>
          <w:rFonts w:ascii="Calibri" w:eastAsia="Calibri" w:hAnsi="Calibri" w:cs="Calibri"/>
          <w:b/>
          <w:bCs/>
          <w:lang w:val="en-GB"/>
        </w:rPr>
        <w:t xml:space="preserve"> </w:t>
      </w:r>
      <w:r w:rsidR="00842A4A">
        <w:rPr>
          <w:rFonts w:ascii="Calibri" w:eastAsia="Calibri" w:hAnsi="Calibri" w:cs="Calibri"/>
          <w:b/>
          <w:bCs/>
          <w:lang w:val="en-GB"/>
        </w:rPr>
        <w:t>of retail space and over 1</w:t>
      </w:r>
      <w:r w:rsidR="00FF3232">
        <w:rPr>
          <w:rFonts w:ascii="Calibri" w:eastAsia="Calibri" w:hAnsi="Calibri" w:cs="Calibri"/>
          <w:b/>
          <w:bCs/>
          <w:lang w:val="en-GB"/>
        </w:rPr>
        <w:t> </w:t>
      </w:r>
      <w:r w:rsidR="00842A4A">
        <w:rPr>
          <w:rFonts w:ascii="Calibri" w:eastAsia="Calibri" w:hAnsi="Calibri" w:cs="Calibri"/>
          <w:b/>
          <w:bCs/>
          <w:lang w:val="en-GB"/>
        </w:rPr>
        <w:t>billion customers in 2018</w:t>
      </w:r>
      <w:r w:rsidR="00842A4A">
        <w:rPr>
          <w:rFonts w:ascii="Calibri" w:eastAsia="Calibri" w:hAnsi="Calibri" w:cs="Calibri"/>
          <w:bCs/>
          <w:lang w:val="en-GB"/>
        </w:rPr>
        <w:t>. During preparation, CBRE used it</w:t>
      </w:r>
      <w:r w:rsidR="005B307D">
        <w:rPr>
          <w:rFonts w:ascii="Calibri" w:eastAsia="Calibri" w:hAnsi="Calibri" w:cs="Calibri"/>
          <w:bCs/>
          <w:lang w:val="en-GB"/>
        </w:rPr>
        <w:t>s</w:t>
      </w:r>
      <w:r w:rsidR="00842A4A">
        <w:rPr>
          <w:rFonts w:ascii="Calibri" w:eastAsia="Calibri" w:hAnsi="Calibri" w:cs="Calibri"/>
          <w:bCs/>
          <w:lang w:val="en-GB"/>
        </w:rPr>
        <w:t xml:space="preserve"> long-term experience </w:t>
      </w:r>
      <w:r w:rsidR="007626F0">
        <w:rPr>
          <w:rFonts w:ascii="Calibri" w:eastAsia="Calibri" w:hAnsi="Calibri" w:cs="Calibri"/>
          <w:bCs/>
          <w:lang w:val="en-GB"/>
        </w:rPr>
        <w:t>and number one position in the field of</w:t>
      </w:r>
      <w:r w:rsidR="00FF3232">
        <w:rPr>
          <w:rFonts w:ascii="Calibri" w:eastAsia="Calibri" w:hAnsi="Calibri" w:cs="Calibri"/>
          <w:bCs/>
          <w:lang w:val="en-GB"/>
        </w:rPr>
        <w:t xml:space="preserve"> property management </w:t>
      </w:r>
      <w:r w:rsidR="007626F0">
        <w:rPr>
          <w:rFonts w:ascii="Calibri" w:eastAsia="Calibri" w:hAnsi="Calibri" w:cs="Calibri"/>
          <w:bCs/>
          <w:lang w:val="en-GB"/>
        </w:rPr>
        <w:t>and</w:t>
      </w:r>
      <w:r w:rsidR="00FF3232">
        <w:rPr>
          <w:rFonts w:ascii="Calibri" w:eastAsia="Calibri" w:hAnsi="Calibri" w:cs="Calibri"/>
          <w:bCs/>
          <w:lang w:val="en-GB"/>
        </w:rPr>
        <w:t xml:space="preserve"> leasing</w:t>
      </w:r>
      <w:r w:rsidR="007626F0">
        <w:rPr>
          <w:rFonts w:ascii="Calibri" w:eastAsia="Calibri" w:hAnsi="Calibri" w:cs="Calibri"/>
          <w:bCs/>
          <w:lang w:val="en-GB"/>
        </w:rPr>
        <w:t xml:space="preserve"> of retail space, when it mediated the lease of 350,000 </w:t>
      </w:r>
      <w:proofErr w:type="spellStart"/>
      <w:r w:rsidR="001D147F">
        <w:rPr>
          <w:rFonts w:ascii="Calibri" w:eastAsia="Calibri" w:hAnsi="Calibri" w:cs="Calibri"/>
          <w:bCs/>
          <w:lang w:val="en-GB"/>
        </w:rPr>
        <w:t>sqm</w:t>
      </w:r>
      <w:proofErr w:type="spellEnd"/>
      <w:r w:rsidR="007626F0" w:rsidRPr="00DC4637">
        <w:rPr>
          <w:rFonts w:ascii="Calibri" w:eastAsia="Calibri" w:hAnsi="Calibri" w:cs="Calibri"/>
          <w:vertAlign w:val="superscript"/>
          <w:lang w:val="en-GB"/>
        </w:rPr>
        <w:t xml:space="preserve"> </w:t>
      </w:r>
      <w:r w:rsidR="007626F0">
        <w:rPr>
          <w:rFonts w:ascii="Calibri" w:eastAsia="Calibri" w:hAnsi="Calibri" w:cs="Calibri"/>
          <w:lang w:val="en-GB"/>
        </w:rPr>
        <w:t>of retail space in the CEE region in the last year.</w:t>
      </w:r>
      <w:r w:rsidR="00D6002D" w:rsidRPr="00DC4637">
        <w:rPr>
          <w:rFonts w:ascii="Calibri" w:eastAsia="Calibri" w:hAnsi="Calibri" w:cs="Calibri"/>
          <w:bCs/>
          <w:lang w:val="en-GB"/>
        </w:rPr>
        <w:t xml:space="preserve"> </w:t>
      </w:r>
    </w:p>
    <w:p w14:paraId="7EB37148" w14:textId="1A9E9F66" w:rsidR="00C03821" w:rsidRPr="00DC4637" w:rsidRDefault="00342800" w:rsidP="001665F3">
      <w:pPr>
        <w:jc w:val="both"/>
        <w:rPr>
          <w:rFonts w:ascii="Calibri" w:eastAsia="Calibri" w:hAnsi="Calibri" w:cs="Calibri"/>
          <w:bCs/>
          <w:lang w:val="en-GB"/>
        </w:rPr>
      </w:pPr>
      <w:r w:rsidRPr="00342800">
        <w:rPr>
          <w:rFonts w:ascii="Calibri" w:eastAsia="Calibri" w:hAnsi="Calibri" w:cs="Calibri"/>
          <w:noProof/>
          <w:lang w:val="cs-CZ"/>
        </w:rPr>
        <w:drawing>
          <wp:anchor distT="0" distB="0" distL="114300" distR="114300" simplePos="0" relativeHeight="251663360" behindDoc="1" locked="0" layoutInCell="1" allowOverlap="1" wp14:anchorId="4A0543DD" wp14:editId="3FC0D329">
            <wp:simplePos x="0" y="0"/>
            <wp:positionH relativeFrom="margin">
              <wp:posOffset>4411345</wp:posOffset>
            </wp:positionH>
            <wp:positionV relativeFrom="paragraph">
              <wp:posOffset>74930</wp:posOffset>
            </wp:positionV>
            <wp:extent cx="1708441" cy="2520000"/>
            <wp:effectExtent l="0" t="0" r="6350" b="0"/>
            <wp:wrapTight wrapText="bothSides">
              <wp:wrapPolygon edited="0">
                <wp:start x="0" y="0"/>
                <wp:lineTo x="0" y="21393"/>
                <wp:lineTo x="21439" y="21393"/>
                <wp:lineTo x="21439" y="0"/>
                <wp:lineTo x="0" y="0"/>
              </wp:wrapPolygon>
            </wp:wrapTight>
            <wp:docPr id="3" name="Obrázek 3" descr="C:\Users\Tereza Štosová\OneDrive - Crest Communications, a.s\PR-Reality\CBRE\Akce\Tisková konference SCI 24.9.19\CEE Shoping Center Index_9_2019\Grafy k tiskové zprávě\Graf_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za Štosová\OneDrive - Crest Communications, a.s\PR-Reality\CBRE\Akce\Tisková konference SCI 24.9.19\CEE Shoping Center Index_9_2019\Grafy k tiskové zprávě\Graf_I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441"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A7A2AE" w14:textId="6457E2A4" w:rsidR="00297D27" w:rsidRPr="00864BE4" w:rsidRDefault="00D57EBB" w:rsidP="001665F3">
      <w:pPr>
        <w:jc w:val="both"/>
        <w:rPr>
          <w:rFonts w:ascii="Calibri" w:eastAsia="Calibri" w:hAnsi="Calibri" w:cs="Calibri"/>
          <w:bCs/>
          <w:i/>
          <w:lang w:val="en-GB"/>
        </w:rPr>
      </w:pPr>
      <w:r>
        <w:rPr>
          <w:rFonts w:ascii="Calibri" w:eastAsia="Calibri" w:hAnsi="Calibri" w:cs="Calibri"/>
          <w:bCs/>
          <w:i/>
          <w:lang w:val="en-GB"/>
        </w:rPr>
        <w:t>“</w:t>
      </w:r>
      <w:r w:rsidR="001625D6" w:rsidRPr="00DC4637">
        <w:rPr>
          <w:rFonts w:ascii="Calibri" w:eastAsia="Calibri" w:hAnsi="Calibri" w:cs="Calibri"/>
          <w:bCs/>
          <w:i/>
          <w:lang w:val="en-GB"/>
        </w:rPr>
        <w:t>P</w:t>
      </w:r>
      <w:r>
        <w:rPr>
          <w:rFonts w:ascii="Calibri" w:eastAsia="Calibri" w:hAnsi="Calibri" w:cs="Calibri"/>
          <w:bCs/>
          <w:i/>
          <w:lang w:val="en-GB"/>
        </w:rPr>
        <w:t>ositive GDP development, falling unemployment and growing average wages</w:t>
      </w:r>
      <w:r w:rsidR="00B10528">
        <w:rPr>
          <w:rFonts w:ascii="Calibri" w:eastAsia="Calibri" w:hAnsi="Calibri" w:cs="Calibri"/>
          <w:bCs/>
          <w:i/>
          <w:lang w:val="en-GB"/>
        </w:rPr>
        <w:t xml:space="preserve"> were reflected in the significant growth </w:t>
      </w:r>
      <w:r w:rsidR="00617544">
        <w:rPr>
          <w:rFonts w:ascii="Calibri" w:eastAsia="Calibri" w:hAnsi="Calibri" w:cs="Calibri"/>
          <w:bCs/>
          <w:i/>
          <w:lang w:val="en-GB"/>
        </w:rPr>
        <w:t>of household purchasing power</w:t>
      </w:r>
      <w:r w:rsidR="002A336F">
        <w:rPr>
          <w:rFonts w:ascii="Calibri" w:eastAsia="Calibri" w:hAnsi="Calibri" w:cs="Calibri"/>
          <w:bCs/>
          <w:i/>
          <w:lang w:val="en-GB"/>
        </w:rPr>
        <w:t xml:space="preserve"> and spending for retail. As a result, turnovers </w:t>
      </w:r>
      <w:r w:rsidR="002C2075">
        <w:rPr>
          <w:rFonts w:ascii="Calibri" w:eastAsia="Calibri" w:hAnsi="Calibri" w:cs="Calibri"/>
          <w:bCs/>
          <w:i/>
          <w:lang w:val="en-GB"/>
        </w:rPr>
        <w:t xml:space="preserve">in shopping centres grew </w:t>
      </w:r>
      <w:r w:rsidR="002A336F">
        <w:rPr>
          <w:rFonts w:ascii="Calibri" w:eastAsia="Calibri" w:hAnsi="Calibri" w:cs="Calibri"/>
          <w:bCs/>
          <w:i/>
          <w:lang w:val="en-GB"/>
        </w:rPr>
        <w:t>in 2018</w:t>
      </w:r>
      <w:r w:rsidR="00906070">
        <w:rPr>
          <w:rFonts w:ascii="Calibri" w:eastAsia="Calibri" w:hAnsi="Calibri" w:cs="Calibri"/>
          <w:bCs/>
          <w:i/>
          <w:lang w:val="en-GB"/>
        </w:rPr>
        <w:t xml:space="preserve"> either</w:t>
      </w:r>
      <w:r w:rsidR="002A336F">
        <w:rPr>
          <w:rFonts w:ascii="Calibri" w:eastAsia="Calibri" w:hAnsi="Calibri" w:cs="Calibri"/>
          <w:bCs/>
          <w:i/>
          <w:lang w:val="en-GB"/>
        </w:rPr>
        <w:t>.</w:t>
      </w:r>
      <w:r w:rsidR="00906070">
        <w:rPr>
          <w:rFonts w:ascii="Calibri" w:eastAsia="Calibri" w:hAnsi="Calibri" w:cs="Calibri"/>
          <w:bCs/>
          <w:i/>
          <w:lang w:val="en-GB"/>
        </w:rPr>
        <w:t xml:space="preserve"> The highest year-on-year </w:t>
      </w:r>
      <w:r w:rsidR="003E6E3F">
        <w:rPr>
          <w:rFonts w:ascii="Calibri" w:eastAsia="Calibri" w:hAnsi="Calibri" w:cs="Calibri"/>
          <w:bCs/>
          <w:i/>
          <w:lang w:val="en-GB"/>
        </w:rPr>
        <w:t>growth was in the Czech Republic (4.2%)</w:t>
      </w:r>
      <w:r w:rsidR="0076169E">
        <w:rPr>
          <w:rFonts w:ascii="Calibri" w:eastAsia="Calibri" w:hAnsi="Calibri" w:cs="Calibri"/>
          <w:bCs/>
          <w:i/>
          <w:lang w:val="en-GB"/>
        </w:rPr>
        <w:t>, followed by Pol</w:t>
      </w:r>
      <w:r w:rsidR="00E61718">
        <w:rPr>
          <w:rFonts w:ascii="Calibri" w:eastAsia="Calibri" w:hAnsi="Calibri" w:cs="Calibri"/>
          <w:bCs/>
          <w:i/>
          <w:lang w:val="en-GB"/>
        </w:rPr>
        <w:t xml:space="preserve">and (1.6%) and Slovakia (1.1%). </w:t>
      </w:r>
      <w:r w:rsidR="00434D65">
        <w:rPr>
          <w:rFonts w:ascii="Calibri" w:eastAsia="Calibri" w:hAnsi="Calibri" w:cs="Calibri"/>
          <w:bCs/>
          <w:i/>
          <w:lang w:val="en-GB"/>
        </w:rPr>
        <w:t>Average turnover grew despite newly implemented sales restrictions</w:t>
      </w:r>
      <w:r w:rsidR="00790307">
        <w:rPr>
          <w:rFonts w:ascii="Calibri" w:eastAsia="Calibri" w:hAnsi="Calibri" w:cs="Calibri"/>
          <w:bCs/>
          <w:i/>
          <w:lang w:val="en-GB"/>
        </w:rPr>
        <w:t xml:space="preserve"> on Sundays and public holidays in Slovakia</w:t>
      </w:r>
      <w:r w:rsidR="00DA4174">
        <w:rPr>
          <w:rFonts w:ascii="Calibri" w:eastAsia="Calibri" w:hAnsi="Calibri" w:cs="Calibri"/>
          <w:bCs/>
          <w:i/>
          <w:lang w:val="en-GB"/>
        </w:rPr>
        <w:t xml:space="preserve">, and also despite </w:t>
      </w:r>
      <w:r w:rsidR="002424FE">
        <w:rPr>
          <w:rFonts w:ascii="Calibri" w:eastAsia="Calibri" w:hAnsi="Calibri" w:cs="Calibri"/>
          <w:bCs/>
          <w:i/>
          <w:lang w:val="en-GB"/>
        </w:rPr>
        <w:t>the dynamically developing world of e-commerce,”</w:t>
      </w:r>
      <w:r w:rsidR="00F31411" w:rsidRPr="00DC4637">
        <w:rPr>
          <w:rFonts w:ascii="Calibri" w:eastAsia="Calibri" w:hAnsi="Calibri" w:cs="Calibri"/>
          <w:bCs/>
          <w:lang w:val="en-GB"/>
        </w:rPr>
        <w:t xml:space="preserve"> </w:t>
      </w:r>
      <w:r w:rsidR="00C54FF8">
        <w:rPr>
          <w:rFonts w:ascii="Calibri" w:eastAsia="Calibri" w:hAnsi="Calibri" w:cs="Calibri"/>
          <w:bCs/>
          <w:lang w:val="en-GB"/>
        </w:rPr>
        <w:t>comments</w:t>
      </w:r>
      <w:r w:rsidR="002424FE">
        <w:rPr>
          <w:rFonts w:ascii="Calibri" w:eastAsia="Calibri" w:hAnsi="Calibri" w:cs="Calibri"/>
          <w:bCs/>
          <w:lang w:val="en-GB"/>
        </w:rPr>
        <w:t xml:space="preserve"> </w:t>
      </w:r>
      <w:proofErr w:type="spellStart"/>
      <w:r w:rsidR="00E208C4" w:rsidRPr="00DC4637">
        <w:rPr>
          <w:rFonts w:ascii="Calibri" w:eastAsia="Calibri" w:hAnsi="Calibri" w:cs="Calibri"/>
          <w:b/>
          <w:bCs/>
          <w:lang w:val="en-GB"/>
        </w:rPr>
        <w:t>Katarína</w:t>
      </w:r>
      <w:proofErr w:type="spellEnd"/>
      <w:r w:rsidR="00E208C4" w:rsidRPr="00DC4637">
        <w:rPr>
          <w:rFonts w:ascii="Calibri" w:eastAsia="Calibri" w:hAnsi="Calibri" w:cs="Calibri"/>
          <w:b/>
          <w:bCs/>
          <w:lang w:val="en-GB"/>
        </w:rPr>
        <w:t xml:space="preserve"> </w:t>
      </w:r>
      <w:proofErr w:type="spellStart"/>
      <w:r w:rsidR="00E208C4" w:rsidRPr="00DC4637">
        <w:rPr>
          <w:rFonts w:ascii="Calibri" w:eastAsia="Calibri" w:hAnsi="Calibri" w:cs="Calibri"/>
          <w:b/>
          <w:bCs/>
          <w:lang w:val="en-GB"/>
        </w:rPr>
        <w:t>Brydone</w:t>
      </w:r>
      <w:proofErr w:type="spellEnd"/>
      <w:r w:rsidR="00E208C4" w:rsidRPr="00DC4637">
        <w:rPr>
          <w:rFonts w:ascii="Calibri" w:eastAsia="Calibri" w:hAnsi="Calibri" w:cs="Calibri"/>
          <w:b/>
          <w:bCs/>
          <w:lang w:val="en-GB"/>
        </w:rPr>
        <w:t>, Head of</w:t>
      </w:r>
      <w:r w:rsidR="00DD2B60" w:rsidRPr="00DC4637">
        <w:rPr>
          <w:rFonts w:ascii="Calibri" w:eastAsia="Calibri" w:hAnsi="Calibri" w:cs="Calibri"/>
          <w:b/>
          <w:bCs/>
          <w:lang w:val="en-GB"/>
        </w:rPr>
        <w:t> </w:t>
      </w:r>
      <w:r w:rsidR="002424FE">
        <w:rPr>
          <w:rFonts w:ascii="Calibri" w:eastAsia="Calibri" w:hAnsi="Calibri" w:cs="Calibri"/>
          <w:b/>
          <w:bCs/>
          <w:lang w:val="en-GB"/>
        </w:rPr>
        <w:t xml:space="preserve">Retail </w:t>
      </w:r>
      <w:r w:rsidR="00DB3B6A">
        <w:rPr>
          <w:rFonts w:ascii="Calibri" w:eastAsia="Calibri" w:hAnsi="Calibri" w:cs="Calibri"/>
          <w:b/>
          <w:bCs/>
          <w:lang w:val="en-GB"/>
        </w:rPr>
        <w:t>at</w:t>
      </w:r>
      <w:r w:rsidR="002424FE">
        <w:rPr>
          <w:rFonts w:ascii="Calibri" w:eastAsia="Calibri" w:hAnsi="Calibri" w:cs="Calibri"/>
          <w:b/>
          <w:bCs/>
          <w:lang w:val="en-GB"/>
        </w:rPr>
        <w:t xml:space="preserve"> </w:t>
      </w:r>
      <w:r w:rsidR="00E208C4" w:rsidRPr="00DC4637">
        <w:rPr>
          <w:rFonts w:ascii="Calibri" w:eastAsia="Calibri" w:hAnsi="Calibri" w:cs="Calibri"/>
          <w:b/>
          <w:bCs/>
          <w:lang w:val="en-GB"/>
        </w:rPr>
        <w:t>CBRE</w:t>
      </w:r>
      <w:r w:rsidR="007E7B55" w:rsidRPr="00DC4637">
        <w:rPr>
          <w:rFonts w:ascii="Calibri" w:eastAsia="Calibri" w:hAnsi="Calibri" w:cs="Calibri"/>
          <w:bCs/>
          <w:lang w:val="en-GB"/>
        </w:rPr>
        <w:t>,</w:t>
      </w:r>
      <w:r w:rsidR="00C54FF8">
        <w:rPr>
          <w:rFonts w:ascii="Calibri" w:eastAsia="Calibri" w:hAnsi="Calibri" w:cs="Calibri"/>
          <w:bCs/>
          <w:lang w:val="en-GB"/>
        </w:rPr>
        <w:t xml:space="preserve"> and adds</w:t>
      </w:r>
      <w:r w:rsidR="00E208C4" w:rsidRPr="00DC4637">
        <w:rPr>
          <w:rFonts w:ascii="Calibri" w:eastAsia="Calibri" w:hAnsi="Calibri" w:cs="Calibri"/>
          <w:bCs/>
          <w:lang w:val="en-GB"/>
        </w:rPr>
        <w:t>:</w:t>
      </w:r>
      <w:r w:rsidR="00E208C4" w:rsidRPr="00DC4637">
        <w:rPr>
          <w:rFonts w:ascii="Calibri" w:eastAsia="Calibri" w:hAnsi="Calibri" w:cs="Calibri"/>
          <w:bCs/>
          <w:i/>
          <w:lang w:val="en-GB"/>
        </w:rPr>
        <w:t xml:space="preserve"> </w:t>
      </w:r>
      <w:r w:rsidR="00297D27">
        <w:rPr>
          <w:rFonts w:ascii="Calibri" w:eastAsia="Calibri" w:hAnsi="Calibri" w:cs="Calibri"/>
          <w:bCs/>
          <w:i/>
          <w:lang w:val="en-GB"/>
        </w:rPr>
        <w:t xml:space="preserve">“In the upcoming years, </w:t>
      </w:r>
      <w:r w:rsidR="000672F3">
        <w:rPr>
          <w:rFonts w:ascii="Calibri" w:eastAsia="Calibri" w:hAnsi="Calibri" w:cs="Calibri"/>
          <w:bCs/>
          <w:i/>
          <w:lang w:val="en-GB"/>
        </w:rPr>
        <w:t>the dynamics of e-commerce growth</w:t>
      </w:r>
      <w:r w:rsidR="00D0736C">
        <w:rPr>
          <w:rFonts w:ascii="Calibri" w:eastAsia="Calibri" w:hAnsi="Calibri" w:cs="Calibri"/>
          <w:bCs/>
          <w:i/>
          <w:lang w:val="en-GB"/>
        </w:rPr>
        <w:t xml:space="preserve"> is expected to slow slightly</w:t>
      </w:r>
      <w:r w:rsidR="008E30FE">
        <w:rPr>
          <w:rFonts w:ascii="Calibri" w:eastAsia="Calibri" w:hAnsi="Calibri" w:cs="Calibri"/>
          <w:bCs/>
          <w:i/>
          <w:lang w:val="en-GB"/>
        </w:rPr>
        <w:t>. In 2023</w:t>
      </w:r>
      <w:r w:rsidR="008E30FE" w:rsidRPr="00864BE4">
        <w:rPr>
          <w:rFonts w:ascii="Calibri" w:eastAsia="Calibri" w:hAnsi="Calibri" w:cs="Calibri"/>
          <w:bCs/>
          <w:i/>
          <w:lang w:val="en-GB"/>
        </w:rPr>
        <w:t>, we expect its share to stabilize</w:t>
      </w:r>
      <w:r w:rsidR="00320D05" w:rsidRPr="00864BE4">
        <w:rPr>
          <w:rFonts w:ascii="Calibri" w:eastAsia="Calibri" w:hAnsi="Calibri" w:cs="Calibri"/>
          <w:bCs/>
          <w:i/>
          <w:lang w:val="en-GB"/>
        </w:rPr>
        <w:t xml:space="preserve"> at 17% in the Czech Republic</w:t>
      </w:r>
      <w:r w:rsidR="004657E7" w:rsidRPr="00864BE4">
        <w:rPr>
          <w:rFonts w:ascii="Calibri" w:eastAsia="Calibri" w:hAnsi="Calibri" w:cs="Calibri"/>
          <w:bCs/>
          <w:i/>
          <w:lang w:val="en-GB"/>
        </w:rPr>
        <w:t xml:space="preserve"> and 10% </w:t>
      </w:r>
      <w:r w:rsidR="000E08D5" w:rsidRPr="00864BE4">
        <w:rPr>
          <w:rFonts w:ascii="Calibri" w:eastAsia="Calibri" w:hAnsi="Calibri" w:cs="Calibri"/>
          <w:bCs/>
          <w:i/>
          <w:lang w:val="en-GB"/>
        </w:rPr>
        <w:t>of total sales in Poland and Slovakia.”</w:t>
      </w:r>
    </w:p>
    <w:p w14:paraId="22C379AF" w14:textId="192BCA78" w:rsidR="004F585E" w:rsidRPr="00864BE4" w:rsidRDefault="004F585E" w:rsidP="001665F3">
      <w:pPr>
        <w:jc w:val="both"/>
        <w:rPr>
          <w:rFonts w:ascii="Calibri" w:eastAsia="Calibri" w:hAnsi="Calibri" w:cs="Calibri"/>
          <w:b/>
          <w:bCs/>
          <w:lang w:val="en-GB"/>
        </w:rPr>
      </w:pPr>
    </w:p>
    <w:p w14:paraId="3E4451F7" w14:textId="1840EAD7" w:rsidR="005A5297" w:rsidRPr="00864BE4" w:rsidRDefault="00864BE4" w:rsidP="001665F3">
      <w:pPr>
        <w:jc w:val="both"/>
        <w:rPr>
          <w:rFonts w:ascii="Calibri" w:eastAsia="Calibri" w:hAnsi="Calibri" w:cs="Calibri"/>
          <w:b/>
          <w:bCs/>
          <w:lang w:val="en-GB"/>
        </w:rPr>
      </w:pPr>
      <w:r>
        <w:rPr>
          <w:rFonts w:ascii="Calibri" w:eastAsia="Calibri" w:hAnsi="Calibri" w:cs="Calibri"/>
          <w:b/>
          <w:bCs/>
          <w:lang w:val="en-GB"/>
        </w:rPr>
        <w:t>The purchasing power of the CEE region allows to build a dense network of s</w:t>
      </w:r>
      <w:r w:rsidR="007F6F2A">
        <w:rPr>
          <w:rFonts w:ascii="Calibri" w:eastAsia="Calibri" w:hAnsi="Calibri" w:cs="Calibri"/>
          <w:b/>
          <w:bCs/>
          <w:lang w:val="en-GB"/>
        </w:rPr>
        <w:t>tores</w:t>
      </w:r>
    </w:p>
    <w:p w14:paraId="15E5C126" w14:textId="1CC406ED" w:rsidR="00306D0F" w:rsidRPr="00864BE4" w:rsidRDefault="00D10E5E" w:rsidP="00160E33">
      <w:pPr>
        <w:jc w:val="both"/>
        <w:rPr>
          <w:rFonts w:ascii="Calibri" w:eastAsia="Calibri" w:hAnsi="Calibri" w:cs="Calibri"/>
          <w:bCs/>
          <w:lang w:val="en-GB"/>
        </w:rPr>
      </w:pPr>
      <w:r>
        <w:rPr>
          <w:rFonts w:ascii="Calibri" w:eastAsia="Calibri" w:hAnsi="Calibri" w:cs="Calibri"/>
          <w:bCs/>
          <w:lang w:val="en-GB"/>
        </w:rPr>
        <w:t>Central Europeans are still</w:t>
      </w:r>
      <w:r w:rsidR="006C46BF">
        <w:rPr>
          <w:rFonts w:ascii="Calibri" w:eastAsia="Calibri" w:hAnsi="Calibri" w:cs="Calibri"/>
          <w:bCs/>
          <w:lang w:val="en-GB"/>
        </w:rPr>
        <w:t xml:space="preserve"> shopping</w:t>
      </w:r>
      <w:r w:rsidR="0033506A">
        <w:rPr>
          <w:rFonts w:ascii="Calibri" w:eastAsia="Calibri" w:hAnsi="Calibri" w:cs="Calibri"/>
          <w:bCs/>
          <w:lang w:val="en-GB"/>
        </w:rPr>
        <w:t>,</w:t>
      </w:r>
      <w:r w:rsidR="007F6F2A">
        <w:rPr>
          <w:rFonts w:ascii="Calibri" w:eastAsia="Calibri" w:hAnsi="Calibri" w:cs="Calibri"/>
          <w:bCs/>
          <w:lang w:val="en-GB"/>
        </w:rPr>
        <w:t xml:space="preserve"> and they will continue to make the most of their purchases in </w:t>
      </w:r>
      <w:r w:rsidR="00E001C0">
        <w:rPr>
          <w:rFonts w:ascii="Calibri" w:eastAsia="Calibri" w:hAnsi="Calibri" w:cs="Calibri"/>
          <w:bCs/>
          <w:lang w:val="en-GB"/>
        </w:rPr>
        <w:t>physical stores. The Czech regional market</w:t>
      </w:r>
      <w:r w:rsidR="00401855">
        <w:rPr>
          <w:rFonts w:ascii="Calibri" w:eastAsia="Calibri" w:hAnsi="Calibri" w:cs="Calibri"/>
          <w:bCs/>
          <w:lang w:val="en-GB"/>
        </w:rPr>
        <w:t xml:space="preserve"> has been stabilized for several years</w:t>
      </w:r>
      <w:r w:rsidR="00007F7E">
        <w:rPr>
          <w:rFonts w:ascii="Calibri" w:eastAsia="Calibri" w:hAnsi="Calibri" w:cs="Calibri"/>
          <w:bCs/>
          <w:lang w:val="en-GB"/>
        </w:rPr>
        <w:t xml:space="preserve"> with the minimum of new retail space, or in exceptional cases, there</w:t>
      </w:r>
      <w:r w:rsidR="006C46BF">
        <w:rPr>
          <w:rFonts w:ascii="Calibri" w:eastAsia="Calibri" w:hAnsi="Calibri" w:cs="Calibri"/>
          <w:bCs/>
          <w:lang w:val="en-GB"/>
        </w:rPr>
        <w:t xml:space="preserve"> were mainly </w:t>
      </w:r>
      <w:r w:rsidR="00007F7E">
        <w:rPr>
          <w:rFonts w:ascii="Calibri" w:eastAsia="Calibri" w:hAnsi="Calibri" w:cs="Calibri"/>
          <w:bCs/>
          <w:lang w:val="en-GB"/>
        </w:rPr>
        <w:t xml:space="preserve">expansions of existing </w:t>
      </w:r>
      <w:r w:rsidR="00A00462">
        <w:rPr>
          <w:rFonts w:ascii="Calibri" w:eastAsia="Calibri" w:hAnsi="Calibri" w:cs="Calibri"/>
          <w:bCs/>
          <w:lang w:val="en-GB"/>
        </w:rPr>
        <w:t xml:space="preserve">shopping </w:t>
      </w:r>
      <w:r w:rsidR="00007F7E">
        <w:rPr>
          <w:rFonts w:ascii="Calibri" w:eastAsia="Calibri" w:hAnsi="Calibri" w:cs="Calibri"/>
          <w:bCs/>
          <w:lang w:val="en-GB"/>
        </w:rPr>
        <w:t>centres.</w:t>
      </w:r>
      <w:r w:rsidR="00662998">
        <w:rPr>
          <w:rFonts w:ascii="Calibri" w:eastAsia="Calibri" w:hAnsi="Calibri" w:cs="Calibri"/>
          <w:bCs/>
          <w:lang w:val="en-GB"/>
        </w:rPr>
        <w:t xml:space="preserve"> In the future, </w:t>
      </w:r>
      <w:r w:rsidR="00A52809">
        <w:rPr>
          <w:rFonts w:ascii="Calibri" w:eastAsia="Calibri" w:hAnsi="Calibri" w:cs="Calibri"/>
          <w:bCs/>
          <w:lang w:val="en-GB"/>
        </w:rPr>
        <w:t xml:space="preserve">the trend of almost zero construction will continue. </w:t>
      </w:r>
      <w:r w:rsidR="0035085B">
        <w:rPr>
          <w:rFonts w:ascii="Calibri" w:eastAsia="Calibri" w:hAnsi="Calibri" w:cs="Calibri"/>
          <w:bCs/>
          <w:lang w:val="en-GB"/>
        </w:rPr>
        <w:t xml:space="preserve">The offer of </w:t>
      </w:r>
      <w:r w:rsidR="00B67C72">
        <w:rPr>
          <w:rFonts w:ascii="Calibri" w:eastAsia="Calibri" w:hAnsi="Calibri" w:cs="Calibri"/>
          <w:bCs/>
          <w:lang w:val="en-GB"/>
        </w:rPr>
        <w:t>t</w:t>
      </w:r>
      <w:r w:rsidR="00186A82">
        <w:rPr>
          <w:rFonts w:ascii="Calibri" w:eastAsia="Calibri" w:hAnsi="Calibri" w:cs="Calibri"/>
          <w:bCs/>
          <w:lang w:val="en-GB"/>
        </w:rPr>
        <w:t xml:space="preserve">he </w:t>
      </w:r>
      <w:r w:rsidR="0035085B">
        <w:rPr>
          <w:rFonts w:ascii="Calibri" w:eastAsia="Calibri" w:hAnsi="Calibri" w:cs="Calibri"/>
          <w:bCs/>
          <w:lang w:val="en-GB"/>
        </w:rPr>
        <w:t>centres is stabilized</w:t>
      </w:r>
      <w:r w:rsidR="0033506A">
        <w:rPr>
          <w:rFonts w:ascii="Calibri" w:eastAsia="Calibri" w:hAnsi="Calibri" w:cs="Calibri"/>
          <w:bCs/>
          <w:lang w:val="en-GB"/>
        </w:rPr>
        <w:t>,</w:t>
      </w:r>
      <w:r w:rsidR="00186A82">
        <w:rPr>
          <w:rFonts w:ascii="Calibri" w:eastAsia="Calibri" w:hAnsi="Calibri" w:cs="Calibri"/>
          <w:bCs/>
          <w:lang w:val="en-GB"/>
        </w:rPr>
        <w:t xml:space="preserve"> and the centres </w:t>
      </w:r>
      <w:r w:rsidR="008B1FC0">
        <w:rPr>
          <w:rFonts w:ascii="Calibri" w:eastAsia="Calibri" w:hAnsi="Calibri" w:cs="Calibri"/>
          <w:bCs/>
          <w:lang w:val="en-GB"/>
        </w:rPr>
        <w:t xml:space="preserve">are being modernized. </w:t>
      </w:r>
      <w:r w:rsidR="00D30633">
        <w:rPr>
          <w:rFonts w:ascii="Calibri" w:eastAsia="Calibri" w:hAnsi="Calibri" w:cs="Calibri"/>
          <w:bCs/>
          <w:lang w:val="en-GB"/>
        </w:rPr>
        <w:t>Although the current density</w:t>
      </w:r>
      <w:r w:rsidR="00D7090C">
        <w:rPr>
          <w:rFonts w:ascii="Calibri" w:eastAsia="Calibri" w:hAnsi="Calibri" w:cs="Calibri"/>
          <w:bCs/>
          <w:lang w:val="en-GB"/>
        </w:rPr>
        <w:t xml:space="preserve"> of </w:t>
      </w:r>
      <w:r w:rsidR="00D7090C" w:rsidRPr="00864BE4">
        <w:rPr>
          <w:rFonts w:ascii="Calibri" w:eastAsia="Calibri" w:hAnsi="Calibri" w:cs="Calibri"/>
          <w:bCs/>
          <w:lang w:val="en-GB"/>
        </w:rPr>
        <w:t>174</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D7090C" w:rsidRPr="00864BE4">
        <w:rPr>
          <w:rFonts w:ascii="Calibri" w:eastAsia="Calibri" w:hAnsi="Calibri" w:cs="Calibri"/>
          <w:bCs/>
          <w:lang w:val="en-GB"/>
        </w:rPr>
        <w:t xml:space="preserve"> </w:t>
      </w:r>
      <w:r w:rsidR="00D7090C">
        <w:rPr>
          <w:rFonts w:ascii="Calibri" w:eastAsia="Calibri" w:hAnsi="Calibri" w:cs="Calibri"/>
          <w:bCs/>
          <w:lang w:val="en-GB"/>
        </w:rPr>
        <w:t>retail space per 1</w:t>
      </w:r>
      <w:r w:rsidR="00863AED">
        <w:rPr>
          <w:rFonts w:ascii="Calibri" w:eastAsia="Calibri" w:hAnsi="Calibri" w:cs="Calibri"/>
          <w:bCs/>
          <w:lang w:val="en-GB"/>
        </w:rPr>
        <w:t>,</w:t>
      </w:r>
      <w:r w:rsidR="00D7090C">
        <w:rPr>
          <w:rFonts w:ascii="Calibri" w:eastAsia="Calibri" w:hAnsi="Calibri" w:cs="Calibri"/>
          <w:bCs/>
          <w:lang w:val="en-GB"/>
        </w:rPr>
        <w:t>000 inhabitants in the regions of the Czech Republic</w:t>
      </w:r>
      <w:r w:rsidR="00331132">
        <w:rPr>
          <w:rFonts w:ascii="Calibri" w:eastAsia="Calibri" w:hAnsi="Calibri" w:cs="Calibri"/>
          <w:bCs/>
          <w:lang w:val="en-GB"/>
        </w:rPr>
        <w:t xml:space="preserve"> can be considered high</w:t>
      </w:r>
      <w:r w:rsidR="00560912">
        <w:rPr>
          <w:rFonts w:ascii="Calibri" w:eastAsia="Calibri" w:hAnsi="Calibri" w:cs="Calibri"/>
          <w:bCs/>
          <w:lang w:val="en-GB"/>
        </w:rPr>
        <w:t>, it is even higher among our neighbours.</w:t>
      </w:r>
      <w:r w:rsidR="004E07F2">
        <w:rPr>
          <w:rFonts w:ascii="Calibri" w:eastAsia="Calibri" w:hAnsi="Calibri" w:cs="Calibri"/>
          <w:bCs/>
          <w:lang w:val="en-GB"/>
        </w:rPr>
        <w:t xml:space="preserve"> In the Polish regions</w:t>
      </w:r>
      <w:r w:rsidR="004259EC">
        <w:rPr>
          <w:rFonts w:ascii="Calibri" w:eastAsia="Calibri" w:hAnsi="Calibri" w:cs="Calibri"/>
          <w:bCs/>
          <w:lang w:val="en-GB"/>
        </w:rPr>
        <w:t>, it is around the level of 216</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4259EC" w:rsidRPr="00864BE4">
        <w:rPr>
          <w:rFonts w:ascii="Calibri" w:eastAsia="Calibri" w:hAnsi="Calibri" w:cs="Calibri"/>
          <w:bCs/>
          <w:lang w:val="en-GB"/>
        </w:rPr>
        <w:t xml:space="preserve"> </w:t>
      </w:r>
      <w:r w:rsidR="004259EC">
        <w:rPr>
          <w:rFonts w:ascii="Calibri" w:eastAsia="Calibri" w:hAnsi="Calibri" w:cs="Calibri"/>
          <w:bCs/>
          <w:lang w:val="en-GB"/>
        </w:rPr>
        <w:t>per 1</w:t>
      </w:r>
      <w:r w:rsidR="00863AED">
        <w:rPr>
          <w:rFonts w:ascii="Calibri" w:eastAsia="Calibri" w:hAnsi="Calibri" w:cs="Calibri"/>
          <w:bCs/>
          <w:lang w:val="en-GB"/>
        </w:rPr>
        <w:t>,</w:t>
      </w:r>
      <w:r w:rsidR="004259EC">
        <w:rPr>
          <w:rFonts w:ascii="Calibri" w:eastAsia="Calibri" w:hAnsi="Calibri" w:cs="Calibri"/>
          <w:bCs/>
          <w:lang w:val="en-GB"/>
        </w:rPr>
        <w:t xml:space="preserve">000 inhabitants and in the Slovak regions, </w:t>
      </w:r>
      <w:r w:rsidR="0080126A">
        <w:rPr>
          <w:rFonts w:ascii="Calibri" w:eastAsia="Calibri" w:hAnsi="Calibri" w:cs="Calibri"/>
          <w:bCs/>
          <w:lang w:val="en-GB"/>
        </w:rPr>
        <w:t>it is 178</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80126A" w:rsidRPr="00864BE4">
        <w:rPr>
          <w:rFonts w:ascii="Calibri" w:eastAsia="Calibri" w:hAnsi="Calibri" w:cs="Calibri"/>
          <w:bCs/>
          <w:lang w:val="en-GB"/>
        </w:rPr>
        <w:t xml:space="preserve"> </w:t>
      </w:r>
      <w:r w:rsidR="0080126A">
        <w:rPr>
          <w:rFonts w:ascii="Calibri" w:eastAsia="Calibri" w:hAnsi="Calibri" w:cs="Calibri"/>
          <w:bCs/>
          <w:lang w:val="en-GB"/>
        </w:rPr>
        <w:t>per 1</w:t>
      </w:r>
      <w:r w:rsidR="00863AED">
        <w:rPr>
          <w:rFonts w:ascii="Calibri" w:eastAsia="Calibri" w:hAnsi="Calibri" w:cs="Calibri"/>
          <w:bCs/>
          <w:lang w:val="en-GB"/>
        </w:rPr>
        <w:t>,</w:t>
      </w:r>
      <w:r w:rsidR="0080126A">
        <w:rPr>
          <w:rFonts w:ascii="Calibri" w:eastAsia="Calibri" w:hAnsi="Calibri" w:cs="Calibri"/>
          <w:bCs/>
          <w:lang w:val="en-GB"/>
        </w:rPr>
        <w:t xml:space="preserve">000 inhabitants. </w:t>
      </w:r>
      <w:r w:rsidR="00FA3C8E">
        <w:rPr>
          <w:rFonts w:ascii="Calibri" w:eastAsia="Calibri" w:hAnsi="Calibri" w:cs="Calibri"/>
          <w:bCs/>
          <w:lang w:val="en-GB"/>
        </w:rPr>
        <w:t>The rapid construction</w:t>
      </w:r>
      <w:r w:rsidR="00A70A53">
        <w:rPr>
          <w:rFonts w:ascii="Calibri" w:eastAsia="Calibri" w:hAnsi="Calibri" w:cs="Calibri"/>
          <w:bCs/>
          <w:lang w:val="en-GB"/>
        </w:rPr>
        <w:t xml:space="preserve">, </w:t>
      </w:r>
      <w:proofErr w:type="gramStart"/>
      <w:r w:rsidR="00A70A53">
        <w:rPr>
          <w:rFonts w:ascii="Calibri" w:eastAsia="Calibri" w:hAnsi="Calibri" w:cs="Calibri"/>
          <w:bCs/>
          <w:lang w:val="en-GB"/>
        </w:rPr>
        <w:t>which</w:t>
      </w:r>
      <w:proofErr w:type="gramEnd"/>
      <w:r w:rsidR="00A70A53">
        <w:rPr>
          <w:rFonts w:ascii="Calibri" w:eastAsia="Calibri" w:hAnsi="Calibri" w:cs="Calibri"/>
          <w:bCs/>
          <w:lang w:val="en-GB"/>
        </w:rPr>
        <w:t xml:space="preserve"> was in the first twenty years after the revolution, </w:t>
      </w:r>
      <w:r w:rsidR="00421F9D">
        <w:rPr>
          <w:rFonts w:ascii="Calibri" w:eastAsia="Calibri" w:hAnsi="Calibri" w:cs="Calibri"/>
          <w:bCs/>
          <w:lang w:val="en-GB"/>
        </w:rPr>
        <w:t>is receding</w:t>
      </w:r>
      <w:r w:rsidR="003E6803">
        <w:rPr>
          <w:rFonts w:ascii="Calibri" w:eastAsia="Calibri" w:hAnsi="Calibri" w:cs="Calibri"/>
          <w:bCs/>
          <w:lang w:val="en-GB"/>
        </w:rPr>
        <w:t xml:space="preserve"> and the CEE markets are now mature. </w:t>
      </w:r>
      <w:r w:rsidR="00D60E42">
        <w:rPr>
          <w:rFonts w:ascii="Calibri" w:eastAsia="Calibri" w:hAnsi="Calibri" w:cs="Calibri"/>
          <w:bCs/>
          <w:lang w:val="en-GB"/>
        </w:rPr>
        <w:t xml:space="preserve">Therefore, </w:t>
      </w:r>
      <w:r w:rsidR="00432EDE">
        <w:rPr>
          <w:rFonts w:ascii="Calibri" w:eastAsia="Calibri" w:hAnsi="Calibri" w:cs="Calibri"/>
          <w:bCs/>
          <w:lang w:val="en-GB"/>
        </w:rPr>
        <w:t xml:space="preserve">construction in the CEE is limited </w:t>
      </w:r>
      <w:r w:rsidR="0047575A">
        <w:rPr>
          <w:rFonts w:ascii="Calibri" w:eastAsia="Calibri" w:hAnsi="Calibri" w:cs="Calibri"/>
          <w:bCs/>
          <w:lang w:val="en-GB"/>
        </w:rPr>
        <w:t xml:space="preserve">and currently </w:t>
      </w:r>
      <w:r w:rsidR="009F3A5F">
        <w:rPr>
          <w:rFonts w:ascii="Calibri" w:eastAsia="Calibri" w:hAnsi="Calibri" w:cs="Calibri"/>
          <w:bCs/>
          <w:lang w:val="en-GB"/>
        </w:rPr>
        <w:t>4% of the total volume of shopping</w:t>
      </w:r>
      <w:r w:rsidR="00171203">
        <w:rPr>
          <w:rFonts w:ascii="Calibri" w:eastAsia="Calibri" w:hAnsi="Calibri" w:cs="Calibri"/>
          <w:bCs/>
          <w:lang w:val="en-GB"/>
        </w:rPr>
        <w:t xml:space="preserve"> stock</w:t>
      </w:r>
      <w:r w:rsidR="009F3A5F">
        <w:rPr>
          <w:rFonts w:ascii="Calibri" w:eastAsia="Calibri" w:hAnsi="Calibri" w:cs="Calibri"/>
          <w:bCs/>
          <w:lang w:val="en-GB"/>
        </w:rPr>
        <w:t xml:space="preserve"> is being</w:t>
      </w:r>
      <w:r w:rsidR="00171203">
        <w:rPr>
          <w:rFonts w:ascii="Calibri" w:eastAsia="Calibri" w:hAnsi="Calibri" w:cs="Calibri"/>
          <w:bCs/>
          <w:lang w:val="en-GB"/>
        </w:rPr>
        <w:t xml:space="preserve"> under construction</w:t>
      </w:r>
      <w:r w:rsidR="003A7BE2">
        <w:rPr>
          <w:rFonts w:ascii="Calibri" w:eastAsia="Calibri" w:hAnsi="Calibri" w:cs="Calibri"/>
          <w:bCs/>
          <w:lang w:val="en-GB"/>
        </w:rPr>
        <w:t xml:space="preserve">, i.e. </w:t>
      </w:r>
      <w:r w:rsidR="0083340B" w:rsidRPr="00864BE4">
        <w:rPr>
          <w:rFonts w:ascii="Calibri" w:eastAsia="Calibri" w:hAnsi="Calibri" w:cs="Calibri"/>
          <w:bCs/>
          <w:lang w:val="en-GB"/>
        </w:rPr>
        <w:t>297 t</w:t>
      </w:r>
      <w:r w:rsidR="00716B2E">
        <w:rPr>
          <w:rFonts w:ascii="Calibri" w:eastAsia="Calibri" w:hAnsi="Calibri" w:cs="Calibri"/>
          <w:bCs/>
          <w:lang w:val="en-GB"/>
        </w:rPr>
        <w:t>housand</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83340B" w:rsidRPr="00864BE4">
        <w:rPr>
          <w:rFonts w:ascii="Calibri" w:eastAsia="Calibri" w:hAnsi="Calibri" w:cs="Calibri"/>
          <w:bCs/>
          <w:vertAlign w:val="superscript"/>
          <w:lang w:val="en-GB"/>
        </w:rPr>
        <w:t xml:space="preserve"> </w:t>
      </w:r>
      <w:r w:rsidR="00716B2E">
        <w:rPr>
          <w:rFonts w:ascii="Calibri" w:eastAsia="Calibri" w:hAnsi="Calibri" w:cs="Calibri"/>
          <w:bCs/>
          <w:lang w:val="en-GB"/>
        </w:rPr>
        <w:t xml:space="preserve">in the Polish regions and </w:t>
      </w:r>
      <w:r w:rsidR="0083340B" w:rsidRPr="00864BE4">
        <w:rPr>
          <w:rFonts w:ascii="Calibri" w:eastAsia="Calibri" w:hAnsi="Calibri" w:cs="Calibri"/>
          <w:bCs/>
          <w:lang w:val="en-GB"/>
        </w:rPr>
        <w:t>38</w:t>
      </w:r>
      <w:r w:rsidR="00716B2E">
        <w:rPr>
          <w:rFonts w:ascii="Calibri" w:eastAsia="Calibri" w:hAnsi="Calibri" w:cs="Calibri"/>
          <w:bCs/>
          <w:lang w:val="en-GB"/>
        </w:rPr>
        <w:t xml:space="preserve"> thousand</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83340B" w:rsidRPr="00864BE4">
        <w:rPr>
          <w:rFonts w:ascii="Calibri" w:eastAsia="Calibri" w:hAnsi="Calibri" w:cs="Calibri"/>
          <w:bCs/>
          <w:lang w:val="en-GB"/>
        </w:rPr>
        <w:t xml:space="preserve"> </w:t>
      </w:r>
      <w:r w:rsidR="00716B2E">
        <w:rPr>
          <w:rFonts w:ascii="Calibri" w:eastAsia="Calibri" w:hAnsi="Calibri" w:cs="Calibri"/>
          <w:bCs/>
          <w:lang w:val="en-GB"/>
        </w:rPr>
        <w:t>in the Slovak regions</w:t>
      </w:r>
      <w:r w:rsidR="0083340B" w:rsidRPr="00864BE4">
        <w:rPr>
          <w:rFonts w:ascii="Calibri" w:eastAsia="Calibri" w:hAnsi="Calibri" w:cs="Calibri"/>
          <w:bCs/>
          <w:lang w:val="en-GB"/>
        </w:rPr>
        <w:t xml:space="preserve">. </w:t>
      </w:r>
    </w:p>
    <w:p w14:paraId="7ECAB19D" w14:textId="77777777" w:rsidR="00306D0F" w:rsidRPr="00864BE4" w:rsidRDefault="00306D0F" w:rsidP="00160E33">
      <w:pPr>
        <w:jc w:val="both"/>
        <w:rPr>
          <w:rFonts w:ascii="Calibri" w:eastAsia="Calibri" w:hAnsi="Calibri" w:cs="Calibri"/>
          <w:bCs/>
          <w:lang w:val="en-GB"/>
        </w:rPr>
      </w:pPr>
    </w:p>
    <w:p w14:paraId="4534A578" w14:textId="0E40867F" w:rsidR="00160E33" w:rsidRPr="00864BE4" w:rsidRDefault="00813B62" w:rsidP="00160E33">
      <w:pPr>
        <w:jc w:val="both"/>
        <w:rPr>
          <w:rFonts w:ascii="Calibri" w:eastAsia="Calibri" w:hAnsi="Calibri" w:cs="Calibri"/>
          <w:bCs/>
          <w:lang w:val="en-GB"/>
        </w:rPr>
      </w:pPr>
      <w:r>
        <w:rPr>
          <w:rFonts w:ascii="Calibri" w:eastAsia="Calibri" w:hAnsi="Calibri" w:cs="Calibri"/>
          <w:bCs/>
          <w:i/>
          <w:lang w:val="en-GB"/>
        </w:rPr>
        <w:t xml:space="preserve">“In the Czech regions, </w:t>
      </w:r>
      <w:r w:rsidR="00B859EE">
        <w:rPr>
          <w:rFonts w:ascii="Calibri" w:eastAsia="Calibri" w:hAnsi="Calibri" w:cs="Calibri"/>
          <w:bCs/>
          <w:i/>
          <w:lang w:val="en-GB"/>
        </w:rPr>
        <w:t xml:space="preserve">the current construction is even lower, </w:t>
      </w:r>
      <w:r w:rsidR="002912B5">
        <w:rPr>
          <w:rFonts w:ascii="Calibri" w:eastAsia="Calibri" w:hAnsi="Calibri" w:cs="Calibri"/>
          <w:bCs/>
          <w:i/>
          <w:lang w:val="en-GB"/>
        </w:rPr>
        <w:t>i.e. 1% of the total volume of retail</w:t>
      </w:r>
      <w:r w:rsidR="00537DC4">
        <w:rPr>
          <w:rFonts w:ascii="Calibri" w:eastAsia="Calibri" w:hAnsi="Calibri" w:cs="Calibri"/>
          <w:bCs/>
          <w:i/>
          <w:lang w:val="en-GB"/>
        </w:rPr>
        <w:t xml:space="preserve"> stock </w:t>
      </w:r>
      <w:r w:rsidR="002912B5">
        <w:rPr>
          <w:rFonts w:ascii="Calibri" w:eastAsia="Calibri" w:hAnsi="Calibri" w:cs="Calibri"/>
          <w:bCs/>
          <w:i/>
          <w:lang w:val="en-GB"/>
        </w:rPr>
        <w:t xml:space="preserve">in shopping centres. </w:t>
      </w:r>
      <w:r w:rsidR="00F61B3E">
        <w:rPr>
          <w:rFonts w:ascii="Calibri" w:eastAsia="Calibri" w:hAnsi="Calibri" w:cs="Calibri"/>
          <w:bCs/>
          <w:i/>
          <w:lang w:val="en-GB"/>
        </w:rPr>
        <w:t xml:space="preserve">Great potential for the expansion of </w:t>
      </w:r>
      <w:r w:rsidR="00EA1D85">
        <w:rPr>
          <w:rFonts w:ascii="Calibri" w:eastAsia="Calibri" w:hAnsi="Calibri" w:cs="Calibri"/>
          <w:bCs/>
          <w:i/>
          <w:lang w:val="en-GB"/>
        </w:rPr>
        <w:t xml:space="preserve">shopping centres can be gained </w:t>
      </w:r>
      <w:r w:rsidR="001B719E">
        <w:rPr>
          <w:rFonts w:ascii="Calibri" w:eastAsia="Calibri" w:hAnsi="Calibri" w:cs="Calibri"/>
          <w:bCs/>
          <w:i/>
          <w:lang w:val="en-GB"/>
        </w:rPr>
        <w:t xml:space="preserve">in </w:t>
      </w:r>
      <w:r w:rsidR="001B719E">
        <w:rPr>
          <w:rFonts w:ascii="Calibri" w:eastAsia="Calibri" w:hAnsi="Calibri" w:cs="Calibri"/>
          <w:bCs/>
          <w:i/>
          <w:lang w:val="en-GB"/>
        </w:rPr>
        <w:lastRenderedPageBreak/>
        <w:t xml:space="preserve">the ongoing remodelling </w:t>
      </w:r>
      <w:r w:rsidR="00C7538F">
        <w:rPr>
          <w:rFonts w:ascii="Calibri" w:eastAsia="Calibri" w:hAnsi="Calibri" w:cs="Calibri"/>
          <w:bCs/>
          <w:i/>
          <w:lang w:val="en-GB"/>
        </w:rPr>
        <w:t>of shopping centres, which is a trend of the present.</w:t>
      </w:r>
      <w:r w:rsidR="00AE3F1A">
        <w:rPr>
          <w:rFonts w:ascii="Calibri" w:eastAsia="Calibri" w:hAnsi="Calibri" w:cs="Calibri"/>
          <w:bCs/>
          <w:i/>
          <w:lang w:val="en-GB"/>
        </w:rPr>
        <w:t xml:space="preserve"> Especially thanks </w:t>
      </w:r>
      <w:r w:rsidR="00E4770D">
        <w:rPr>
          <w:rFonts w:ascii="Calibri" w:eastAsia="Calibri" w:hAnsi="Calibri" w:cs="Calibri"/>
          <w:bCs/>
          <w:i/>
          <w:lang w:val="en-GB"/>
        </w:rPr>
        <w:t>to the optimization of the area</w:t>
      </w:r>
      <w:r w:rsidR="00FD5051">
        <w:rPr>
          <w:rFonts w:ascii="Calibri" w:eastAsia="Calibri" w:hAnsi="Calibri" w:cs="Calibri"/>
          <w:bCs/>
          <w:i/>
          <w:lang w:val="en-GB"/>
        </w:rPr>
        <w:t xml:space="preserve"> of hyp</w:t>
      </w:r>
      <w:r w:rsidR="005674FC">
        <w:rPr>
          <w:rFonts w:ascii="Calibri" w:eastAsia="Calibri" w:hAnsi="Calibri" w:cs="Calibri"/>
          <w:bCs/>
          <w:i/>
          <w:lang w:val="en-GB"/>
        </w:rPr>
        <w:t>ermarkets (so-called downsizing), it is possible to expand the offer of centres with other attractive tenants</w:t>
      </w:r>
      <w:r w:rsidR="004465A1">
        <w:rPr>
          <w:rFonts w:ascii="Calibri" w:eastAsia="Calibri" w:hAnsi="Calibri" w:cs="Calibri"/>
          <w:bCs/>
          <w:i/>
          <w:lang w:val="en-GB"/>
        </w:rPr>
        <w:t xml:space="preserve"> and to introduce new services.</w:t>
      </w:r>
      <w:r w:rsidR="002227E3">
        <w:rPr>
          <w:rFonts w:ascii="Calibri" w:eastAsia="Calibri" w:hAnsi="Calibri" w:cs="Calibri"/>
          <w:bCs/>
          <w:i/>
          <w:lang w:val="en-GB"/>
        </w:rPr>
        <w:t xml:space="preserve"> Compared to other CEE countries, </w:t>
      </w:r>
      <w:r w:rsidR="00F36B42">
        <w:rPr>
          <w:rFonts w:ascii="Calibri" w:eastAsia="Calibri" w:hAnsi="Calibri" w:cs="Calibri"/>
          <w:bCs/>
          <w:i/>
          <w:lang w:val="en-GB"/>
        </w:rPr>
        <w:t>the</w:t>
      </w:r>
      <w:r w:rsidR="008B6AF2">
        <w:rPr>
          <w:rFonts w:ascii="Calibri" w:eastAsia="Calibri" w:hAnsi="Calibri" w:cs="Calibri"/>
          <w:bCs/>
          <w:i/>
          <w:lang w:val="en-GB"/>
        </w:rPr>
        <w:t xml:space="preserve"> Czech customer</w:t>
      </w:r>
      <w:r w:rsidR="008D7260">
        <w:rPr>
          <w:rFonts w:ascii="Calibri" w:eastAsia="Calibri" w:hAnsi="Calibri" w:cs="Calibri"/>
          <w:bCs/>
          <w:i/>
          <w:lang w:val="en-GB"/>
        </w:rPr>
        <w:t xml:space="preserve"> has the highest purchasing power in the amount of CZK 235,500 per year. In Slovakia, it is less than CZK 30,000 per person less, i.e. approximately CZK 208,000 per year, and in Poland, it is CZK 181</w:t>
      </w:r>
      <w:proofErr w:type="gramStart"/>
      <w:r w:rsidR="008D7260">
        <w:rPr>
          <w:rFonts w:ascii="Calibri" w:eastAsia="Calibri" w:hAnsi="Calibri" w:cs="Calibri"/>
          <w:bCs/>
          <w:i/>
          <w:lang w:val="en-GB"/>
        </w:rPr>
        <w:t>,700</w:t>
      </w:r>
      <w:proofErr w:type="gramEnd"/>
      <w:r w:rsidR="008D7260">
        <w:rPr>
          <w:rFonts w:ascii="Calibri" w:eastAsia="Calibri" w:hAnsi="Calibri" w:cs="Calibri"/>
          <w:bCs/>
          <w:i/>
          <w:lang w:val="en-GB"/>
        </w:rPr>
        <w:t xml:space="preserve">,” </w:t>
      </w:r>
      <w:r w:rsidR="008D7260">
        <w:rPr>
          <w:rFonts w:ascii="Calibri" w:eastAsia="Calibri" w:hAnsi="Calibri" w:cs="Calibri"/>
          <w:bCs/>
          <w:lang w:val="en-GB"/>
        </w:rPr>
        <w:t>says</w:t>
      </w:r>
      <w:r w:rsidR="00306D0F" w:rsidRPr="00864BE4">
        <w:rPr>
          <w:rFonts w:ascii="Calibri" w:eastAsia="Calibri" w:hAnsi="Calibri" w:cs="Calibri"/>
          <w:bCs/>
          <w:lang w:val="en-GB"/>
        </w:rPr>
        <w:t xml:space="preserve"> </w:t>
      </w:r>
      <w:proofErr w:type="spellStart"/>
      <w:r w:rsidR="00306D0F" w:rsidRPr="00864BE4">
        <w:rPr>
          <w:rFonts w:ascii="Calibri" w:eastAsia="Calibri" w:hAnsi="Calibri" w:cs="Calibri"/>
          <w:b/>
          <w:bCs/>
          <w:lang w:val="en-GB"/>
        </w:rPr>
        <w:t>Klára</w:t>
      </w:r>
      <w:proofErr w:type="spellEnd"/>
      <w:r w:rsidR="00306D0F" w:rsidRPr="00864BE4">
        <w:rPr>
          <w:rFonts w:ascii="Calibri" w:eastAsia="Calibri" w:hAnsi="Calibri" w:cs="Calibri"/>
          <w:b/>
          <w:bCs/>
          <w:lang w:val="en-GB"/>
        </w:rPr>
        <w:t xml:space="preserve"> </w:t>
      </w:r>
      <w:proofErr w:type="spellStart"/>
      <w:r w:rsidR="00306D0F" w:rsidRPr="00864BE4">
        <w:rPr>
          <w:rFonts w:ascii="Calibri" w:eastAsia="Calibri" w:hAnsi="Calibri" w:cs="Calibri"/>
          <w:b/>
          <w:bCs/>
          <w:lang w:val="en-GB"/>
        </w:rPr>
        <w:t>Bejblová</w:t>
      </w:r>
      <w:proofErr w:type="spellEnd"/>
      <w:r w:rsidR="00306D0F" w:rsidRPr="00864BE4">
        <w:rPr>
          <w:rFonts w:ascii="Calibri" w:eastAsia="Calibri" w:hAnsi="Calibri" w:cs="Calibri"/>
          <w:b/>
          <w:bCs/>
          <w:lang w:val="en-GB"/>
        </w:rPr>
        <w:t>, CEE Retail Research &amp;</w:t>
      </w:r>
      <w:r w:rsidR="00BE60B2" w:rsidRPr="00864BE4">
        <w:rPr>
          <w:rFonts w:ascii="Calibri" w:eastAsia="Calibri" w:hAnsi="Calibri" w:cs="Calibri"/>
          <w:b/>
          <w:bCs/>
          <w:lang w:val="en-GB"/>
        </w:rPr>
        <w:t> </w:t>
      </w:r>
      <w:r w:rsidR="00306D0F" w:rsidRPr="00864BE4">
        <w:rPr>
          <w:rFonts w:ascii="Calibri" w:eastAsia="Calibri" w:hAnsi="Calibri" w:cs="Calibri"/>
          <w:b/>
          <w:bCs/>
          <w:lang w:val="en-GB"/>
        </w:rPr>
        <w:t xml:space="preserve">Consultancy </w:t>
      </w:r>
      <w:r w:rsidR="00DB3B6A">
        <w:rPr>
          <w:rFonts w:ascii="Calibri" w:eastAsia="Calibri" w:hAnsi="Calibri" w:cs="Calibri"/>
          <w:b/>
          <w:bCs/>
          <w:lang w:val="en-GB"/>
        </w:rPr>
        <w:t xml:space="preserve">at </w:t>
      </w:r>
      <w:r w:rsidR="00306D0F" w:rsidRPr="00864BE4">
        <w:rPr>
          <w:rFonts w:ascii="Calibri" w:eastAsia="Calibri" w:hAnsi="Calibri" w:cs="Calibri"/>
          <w:b/>
          <w:bCs/>
          <w:lang w:val="en-GB"/>
        </w:rPr>
        <w:t>CBRE</w:t>
      </w:r>
      <w:r w:rsidR="00306D0F" w:rsidRPr="00864BE4">
        <w:rPr>
          <w:rFonts w:ascii="Calibri" w:eastAsia="Calibri" w:hAnsi="Calibri" w:cs="Calibri"/>
          <w:bCs/>
          <w:lang w:val="en-GB"/>
        </w:rPr>
        <w:t>.</w:t>
      </w:r>
    </w:p>
    <w:p w14:paraId="55F33A91" w14:textId="77777777" w:rsidR="00160E33" w:rsidRPr="00864BE4" w:rsidRDefault="00160E33" w:rsidP="00160E33">
      <w:pPr>
        <w:jc w:val="both"/>
        <w:rPr>
          <w:rFonts w:ascii="Calibri" w:eastAsia="Calibri" w:hAnsi="Calibri" w:cs="Calibri"/>
          <w:bCs/>
          <w:lang w:val="en-GB"/>
        </w:rPr>
      </w:pPr>
    </w:p>
    <w:p w14:paraId="339ED379" w14:textId="77105435" w:rsidR="007C59B9" w:rsidRPr="00864BE4" w:rsidRDefault="00D03574" w:rsidP="007C59B9">
      <w:pPr>
        <w:jc w:val="both"/>
        <w:rPr>
          <w:rFonts w:ascii="Calibri" w:eastAsia="Calibri" w:hAnsi="Calibri" w:cs="Calibri"/>
          <w:b/>
          <w:bCs/>
          <w:lang w:val="en-GB"/>
        </w:rPr>
      </w:pPr>
      <w:r>
        <w:rPr>
          <w:rFonts w:ascii="Calibri" w:eastAsia="Calibri" w:hAnsi="Calibri" w:cs="Calibri"/>
          <w:b/>
          <w:bCs/>
          <w:lang w:val="en-GB"/>
        </w:rPr>
        <w:t>Fashion continues to dominate the centres</w:t>
      </w:r>
      <w:r w:rsidR="007C59B9" w:rsidRPr="00864BE4">
        <w:rPr>
          <w:rFonts w:ascii="Calibri" w:eastAsia="Calibri" w:hAnsi="Calibri" w:cs="Calibri"/>
          <w:b/>
          <w:bCs/>
          <w:lang w:val="en-GB"/>
        </w:rPr>
        <w:t xml:space="preserve">, </w:t>
      </w:r>
      <w:r w:rsidR="003C3FC9">
        <w:rPr>
          <w:rFonts w:ascii="Calibri" w:eastAsia="Calibri" w:hAnsi="Calibri" w:cs="Calibri"/>
          <w:b/>
          <w:bCs/>
          <w:lang w:val="en-GB"/>
        </w:rPr>
        <w:t xml:space="preserve">but </w:t>
      </w:r>
      <w:r w:rsidR="00863AED">
        <w:rPr>
          <w:rFonts w:ascii="Calibri" w:eastAsia="Calibri" w:hAnsi="Calibri" w:cs="Calibri"/>
          <w:b/>
          <w:bCs/>
          <w:lang w:val="en-GB"/>
        </w:rPr>
        <w:t xml:space="preserve">Speciality </w:t>
      </w:r>
      <w:r w:rsidR="003C3FC9">
        <w:rPr>
          <w:rFonts w:ascii="Calibri" w:eastAsia="Calibri" w:hAnsi="Calibri" w:cs="Calibri"/>
          <w:b/>
          <w:bCs/>
          <w:lang w:val="en-GB"/>
        </w:rPr>
        <w:t>retail has seen an increase of up to</w:t>
      </w:r>
      <w:r w:rsidR="007C59B9" w:rsidRPr="00864BE4">
        <w:rPr>
          <w:rFonts w:ascii="Calibri" w:eastAsia="Calibri" w:hAnsi="Calibri" w:cs="Calibri"/>
          <w:b/>
          <w:bCs/>
          <w:lang w:val="en-GB"/>
        </w:rPr>
        <w:t xml:space="preserve"> 8% </w:t>
      </w:r>
      <w:r w:rsidR="003C3FC9">
        <w:rPr>
          <w:rFonts w:ascii="Calibri" w:eastAsia="Calibri" w:hAnsi="Calibri" w:cs="Calibri"/>
          <w:b/>
          <w:bCs/>
          <w:lang w:val="en-GB"/>
        </w:rPr>
        <w:t>of space in the Czech Republic</w:t>
      </w:r>
    </w:p>
    <w:p w14:paraId="4103D8E1" w14:textId="518D9908" w:rsidR="001424EC" w:rsidRDefault="001424EC" w:rsidP="00BA4829">
      <w:pPr>
        <w:jc w:val="both"/>
        <w:rPr>
          <w:rFonts w:ascii="Calibri" w:eastAsia="Calibri" w:hAnsi="Calibri" w:cs="Calibri"/>
          <w:bCs/>
          <w:lang w:val="en-GB"/>
        </w:rPr>
      </w:pPr>
      <w:r>
        <w:rPr>
          <w:rFonts w:ascii="Calibri" w:eastAsia="Calibri" w:hAnsi="Calibri" w:cs="Calibri"/>
          <w:bCs/>
          <w:lang w:val="en-GB"/>
        </w:rPr>
        <w:t>The share of individual sectors in the total area of shopping galleries</w:t>
      </w:r>
      <w:r w:rsidR="00DC57F5">
        <w:rPr>
          <w:rFonts w:ascii="Calibri" w:eastAsia="Calibri" w:hAnsi="Calibri" w:cs="Calibri"/>
          <w:bCs/>
          <w:lang w:val="en-GB"/>
        </w:rPr>
        <w:t xml:space="preserve"> in CEE did no</w:t>
      </w:r>
      <w:r w:rsidR="00A30E2E">
        <w:rPr>
          <w:rFonts w:ascii="Calibri" w:eastAsia="Calibri" w:hAnsi="Calibri" w:cs="Calibri"/>
          <w:bCs/>
          <w:lang w:val="en-GB"/>
        </w:rPr>
        <w:t xml:space="preserve">t change significantly in 2018. Fashion occupies the main position with 35 – 42%. </w:t>
      </w:r>
      <w:r w:rsidR="002679C9">
        <w:rPr>
          <w:rFonts w:ascii="Calibri" w:eastAsia="Calibri" w:hAnsi="Calibri" w:cs="Calibri"/>
          <w:bCs/>
          <w:lang w:val="en-GB"/>
        </w:rPr>
        <w:t>Despite this, the biggest year-on-year</w:t>
      </w:r>
      <w:r w:rsidR="009F2A82">
        <w:rPr>
          <w:rFonts w:ascii="Calibri" w:eastAsia="Calibri" w:hAnsi="Calibri" w:cs="Calibri"/>
          <w:bCs/>
          <w:lang w:val="en-GB"/>
        </w:rPr>
        <w:t xml:space="preserve"> increase of 4 to 8%</w:t>
      </w:r>
      <w:r w:rsidR="009A15F7">
        <w:rPr>
          <w:rFonts w:ascii="Calibri" w:eastAsia="Calibri" w:hAnsi="Calibri" w:cs="Calibri"/>
          <w:bCs/>
          <w:lang w:val="en-GB"/>
        </w:rPr>
        <w:t xml:space="preserve"> was in </w:t>
      </w:r>
      <w:r w:rsidR="00863AED">
        <w:rPr>
          <w:rFonts w:ascii="Calibri" w:eastAsia="Calibri" w:hAnsi="Calibri" w:cs="Calibri"/>
          <w:bCs/>
          <w:lang w:val="en-GB"/>
        </w:rPr>
        <w:t xml:space="preserve">Speciality </w:t>
      </w:r>
      <w:r w:rsidR="009A15F7">
        <w:rPr>
          <w:rFonts w:ascii="Calibri" w:eastAsia="Calibri" w:hAnsi="Calibri" w:cs="Calibri"/>
          <w:bCs/>
          <w:lang w:val="en-GB"/>
        </w:rPr>
        <w:t xml:space="preserve">retail (for example, perfumery, bookstore, pharmacy, toys or optics). </w:t>
      </w:r>
      <w:r w:rsidR="00FF1339">
        <w:rPr>
          <w:rFonts w:ascii="Calibri" w:eastAsia="Calibri" w:hAnsi="Calibri" w:cs="Calibri"/>
          <w:bCs/>
          <w:lang w:val="en-GB"/>
        </w:rPr>
        <w:t>Currently,</w:t>
      </w:r>
      <w:r w:rsidR="001602D6">
        <w:rPr>
          <w:rFonts w:ascii="Calibri" w:eastAsia="Calibri" w:hAnsi="Calibri" w:cs="Calibri"/>
          <w:bCs/>
          <w:lang w:val="en-GB"/>
        </w:rPr>
        <w:t xml:space="preserve"> </w:t>
      </w:r>
      <w:r w:rsidR="00863AED">
        <w:rPr>
          <w:rFonts w:ascii="Calibri" w:eastAsia="Calibri" w:hAnsi="Calibri" w:cs="Calibri"/>
          <w:bCs/>
          <w:lang w:val="en-GB"/>
        </w:rPr>
        <w:t>it is</w:t>
      </w:r>
      <w:r w:rsidR="00FF1339">
        <w:rPr>
          <w:rFonts w:ascii="Calibri" w:eastAsia="Calibri" w:hAnsi="Calibri" w:cs="Calibri"/>
          <w:bCs/>
          <w:lang w:val="en-GB"/>
        </w:rPr>
        <w:t xml:space="preserve"> </w:t>
      </w:r>
      <w:r w:rsidR="007A2A52">
        <w:rPr>
          <w:rFonts w:ascii="Calibri" w:eastAsia="Calibri" w:hAnsi="Calibri" w:cs="Calibri"/>
          <w:bCs/>
          <w:lang w:val="en-GB"/>
        </w:rPr>
        <w:t>the second most important sector</w:t>
      </w:r>
      <w:r w:rsidR="00C01F76">
        <w:rPr>
          <w:rFonts w:ascii="Calibri" w:eastAsia="Calibri" w:hAnsi="Calibri" w:cs="Calibri"/>
          <w:bCs/>
          <w:lang w:val="en-GB"/>
        </w:rPr>
        <w:t xml:space="preserve"> in the Czech Republic (15% share)</w:t>
      </w:r>
      <w:r w:rsidR="001408D7">
        <w:rPr>
          <w:rFonts w:ascii="Calibri" w:eastAsia="Calibri" w:hAnsi="Calibri" w:cs="Calibri"/>
          <w:bCs/>
          <w:lang w:val="en-GB"/>
        </w:rPr>
        <w:t xml:space="preserve"> and in Slovakia (16%). In Poland, </w:t>
      </w:r>
      <w:r w:rsidR="00863AED">
        <w:rPr>
          <w:rFonts w:ascii="Calibri" w:eastAsia="Calibri" w:hAnsi="Calibri" w:cs="Calibri"/>
          <w:bCs/>
          <w:lang w:val="en-GB"/>
        </w:rPr>
        <w:t>H</w:t>
      </w:r>
      <w:r w:rsidR="00BA4829">
        <w:rPr>
          <w:rFonts w:ascii="Calibri" w:eastAsia="Calibri" w:hAnsi="Calibri" w:cs="Calibri"/>
          <w:bCs/>
          <w:lang w:val="en-GB"/>
        </w:rPr>
        <w:t xml:space="preserve">ousehold </w:t>
      </w:r>
      <w:r w:rsidR="00BA4829" w:rsidRPr="00864BE4">
        <w:rPr>
          <w:rFonts w:ascii="Calibri" w:eastAsia="Calibri" w:hAnsi="Calibri" w:cs="Calibri"/>
          <w:bCs/>
          <w:lang w:val="en-GB"/>
        </w:rPr>
        <w:t xml:space="preserve">&amp; </w:t>
      </w:r>
      <w:r w:rsidR="00863AED">
        <w:rPr>
          <w:rFonts w:ascii="Calibri" w:eastAsia="Calibri" w:hAnsi="Calibri" w:cs="Calibri"/>
          <w:bCs/>
          <w:lang w:val="en-GB"/>
        </w:rPr>
        <w:t>F</w:t>
      </w:r>
      <w:r w:rsidR="00BA4829">
        <w:rPr>
          <w:rFonts w:ascii="Calibri" w:eastAsia="Calibri" w:hAnsi="Calibri" w:cs="Calibri"/>
          <w:bCs/>
          <w:lang w:val="en-GB"/>
        </w:rPr>
        <w:t xml:space="preserve">urniture and </w:t>
      </w:r>
      <w:r w:rsidR="00863AED">
        <w:rPr>
          <w:rFonts w:ascii="Calibri" w:eastAsia="Calibri" w:hAnsi="Calibri" w:cs="Calibri"/>
          <w:bCs/>
          <w:lang w:val="en-GB"/>
        </w:rPr>
        <w:t>E</w:t>
      </w:r>
      <w:r w:rsidR="00BA4829">
        <w:rPr>
          <w:rFonts w:ascii="Calibri" w:eastAsia="Calibri" w:hAnsi="Calibri" w:cs="Calibri"/>
          <w:bCs/>
          <w:lang w:val="en-GB"/>
        </w:rPr>
        <w:t>lectronics occupy the second place with 12%</w:t>
      </w:r>
      <w:r w:rsidR="00BA4829" w:rsidRPr="00864BE4">
        <w:rPr>
          <w:rFonts w:ascii="Calibri" w:eastAsia="Calibri" w:hAnsi="Calibri" w:cs="Calibri"/>
          <w:bCs/>
          <w:lang w:val="en-GB"/>
        </w:rPr>
        <w:t>.</w:t>
      </w:r>
    </w:p>
    <w:p w14:paraId="1F512652" w14:textId="77777777" w:rsidR="00342800" w:rsidRDefault="00342800" w:rsidP="00BA4829">
      <w:pPr>
        <w:jc w:val="both"/>
        <w:rPr>
          <w:rFonts w:ascii="Calibri" w:eastAsia="Calibri" w:hAnsi="Calibri" w:cs="Calibri"/>
          <w:bCs/>
          <w:lang w:val="en-GB"/>
        </w:rPr>
      </w:pPr>
    </w:p>
    <w:p w14:paraId="5D5A34B4" w14:textId="554AA14A" w:rsidR="001C607B" w:rsidRDefault="00342800" w:rsidP="00342800">
      <w:pPr>
        <w:jc w:val="center"/>
        <w:rPr>
          <w:rFonts w:ascii="Calibri" w:eastAsia="Calibri" w:hAnsi="Calibri" w:cs="Calibri"/>
          <w:bCs/>
          <w:lang w:val="cs-CZ"/>
        </w:rPr>
      </w:pPr>
      <w:r w:rsidRPr="00342800">
        <w:rPr>
          <w:rFonts w:ascii="Calibri" w:eastAsia="Calibri" w:hAnsi="Calibri" w:cs="Calibri"/>
          <w:bCs/>
          <w:noProof/>
          <w:lang w:val="cs-CZ"/>
        </w:rPr>
        <w:drawing>
          <wp:inline distT="0" distB="0" distL="0" distR="0" wp14:anchorId="6393789C" wp14:editId="59254016">
            <wp:extent cx="3884930" cy="2549425"/>
            <wp:effectExtent l="0" t="0" r="1270" b="3810"/>
            <wp:docPr id="4" name="Obrázek 4" descr="C:\Users\Tereza Štosová\OneDrive - Crest Communications, a.s\PR-Reality\CBRE\Akce\Tisková konference SCI 24.9.19\CEE Shoping Center Index_9_2019\Grafy k tiskové zprávě\Graf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za Štosová\OneDrive - Crest Communications, a.s\PR-Reality\CBRE\Akce\Tisková konference SCI 24.9.19\CEE Shoping Center Index_9_2019\Grafy k tiskové zprávě\Graf_I.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39" r="1"/>
                    <a:stretch/>
                  </pic:blipFill>
                  <pic:spPr bwMode="auto">
                    <a:xfrm>
                      <a:off x="0" y="0"/>
                      <a:ext cx="3885807" cy="2550000"/>
                    </a:xfrm>
                    <a:prstGeom prst="rect">
                      <a:avLst/>
                    </a:prstGeom>
                    <a:noFill/>
                    <a:ln>
                      <a:noFill/>
                    </a:ln>
                    <a:extLst>
                      <a:ext uri="{53640926-AAD7-44D8-BBD7-CCE9431645EC}">
                        <a14:shadowObscured xmlns:a14="http://schemas.microsoft.com/office/drawing/2010/main"/>
                      </a:ext>
                    </a:extLst>
                  </pic:spPr>
                </pic:pic>
              </a:graphicData>
            </a:graphic>
          </wp:inline>
        </w:drawing>
      </w:r>
    </w:p>
    <w:p w14:paraId="2B1A89D2" w14:textId="77777777" w:rsidR="00342800" w:rsidRPr="00342800" w:rsidRDefault="00342800" w:rsidP="00342800">
      <w:pPr>
        <w:jc w:val="center"/>
        <w:rPr>
          <w:rFonts w:ascii="Calibri" w:eastAsia="Calibri" w:hAnsi="Calibri" w:cs="Calibri"/>
          <w:bCs/>
          <w:lang w:val="cs-CZ"/>
        </w:rPr>
      </w:pPr>
    </w:p>
    <w:p w14:paraId="46C358FD" w14:textId="11B9228E" w:rsidR="008F4C38" w:rsidRPr="007E388B" w:rsidRDefault="00ED39EE" w:rsidP="008F4C38">
      <w:pPr>
        <w:jc w:val="both"/>
        <w:rPr>
          <w:rFonts w:ascii="Calibri" w:eastAsia="Calibri" w:hAnsi="Calibri" w:cs="Calibri"/>
          <w:bCs/>
          <w:lang w:val="en-GB"/>
        </w:rPr>
      </w:pPr>
      <w:r>
        <w:rPr>
          <w:rFonts w:ascii="Calibri" w:eastAsia="Calibri" w:hAnsi="Calibri" w:cs="Calibri"/>
          <w:bCs/>
          <w:i/>
          <w:lang w:val="en-GB"/>
        </w:rPr>
        <w:t xml:space="preserve">“The gastronomy sector is also experiencing a significant growth. </w:t>
      </w:r>
      <w:r w:rsidR="00392256">
        <w:rPr>
          <w:rFonts w:ascii="Calibri" w:eastAsia="Calibri" w:hAnsi="Calibri" w:cs="Calibri"/>
          <w:bCs/>
          <w:i/>
          <w:lang w:val="en-GB"/>
        </w:rPr>
        <w:t xml:space="preserve">In the Czech Republic, </w:t>
      </w:r>
      <w:r w:rsidR="00540EED">
        <w:rPr>
          <w:rFonts w:ascii="Calibri" w:eastAsia="Calibri" w:hAnsi="Calibri" w:cs="Calibri"/>
          <w:bCs/>
          <w:i/>
          <w:lang w:val="en-GB"/>
        </w:rPr>
        <w:t>there has been</w:t>
      </w:r>
      <w:r w:rsidR="00E77151">
        <w:rPr>
          <w:rFonts w:ascii="Calibri" w:eastAsia="Calibri" w:hAnsi="Calibri" w:cs="Calibri"/>
          <w:bCs/>
          <w:i/>
          <w:lang w:val="en-GB"/>
        </w:rPr>
        <w:t xml:space="preserve"> even</w:t>
      </w:r>
      <w:r w:rsidR="00540EED">
        <w:rPr>
          <w:rFonts w:ascii="Calibri" w:eastAsia="Calibri" w:hAnsi="Calibri" w:cs="Calibri"/>
          <w:bCs/>
          <w:i/>
          <w:lang w:val="en-GB"/>
        </w:rPr>
        <w:t xml:space="preserve"> a 40% increase of turnover in relative to retail space</w:t>
      </w:r>
      <w:r w:rsidR="00AC0F19">
        <w:rPr>
          <w:rFonts w:ascii="Calibri" w:eastAsia="Calibri" w:hAnsi="Calibri" w:cs="Calibri"/>
          <w:bCs/>
          <w:i/>
          <w:lang w:val="en-GB"/>
        </w:rPr>
        <w:t xml:space="preserve"> in the last three years.</w:t>
      </w:r>
      <w:r w:rsidR="009C30E4">
        <w:rPr>
          <w:rFonts w:ascii="Calibri" w:eastAsia="Calibri" w:hAnsi="Calibri" w:cs="Calibri"/>
          <w:bCs/>
          <w:i/>
          <w:lang w:val="en-GB"/>
        </w:rPr>
        <w:t xml:space="preserve"> T</w:t>
      </w:r>
      <w:r w:rsidR="00A13EC8">
        <w:rPr>
          <w:rFonts w:ascii="Calibri" w:eastAsia="Calibri" w:hAnsi="Calibri" w:cs="Calibri"/>
          <w:bCs/>
          <w:i/>
          <w:lang w:val="en-GB"/>
        </w:rPr>
        <w:t>o t</w:t>
      </w:r>
      <w:r w:rsidR="009C30E4">
        <w:rPr>
          <w:rFonts w:ascii="Calibri" w:eastAsia="Calibri" w:hAnsi="Calibri" w:cs="Calibri"/>
          <w:bCs/>
          <w:i/>
          <w:lang w:val="en-GB"/>
        </w:rPr>
        <w:t>he growing popularity of gastronomy</w:t>
      </w:r>
      <w:r w:rsidR="00A13EC8">
        <w:rPr>
          <w:rFonts w:ascii="Calibri" w:eastAsia="Calibri" w:hAnsi="Calibri" w:cs="Calibri"/>
          <w:bCs/>
          <w:i/>
          <w:lang w:val="en-GB"/>
        </w:rPr>
        <w:t xml:space="preserve"> responds very well the ever expanding base of </w:t>
      </w:r>
      <w:proofErr w:type="gramStart"/>
      <w:r w:rsidR="00A13EC8">
        <w:rPr>
          <w:rFonts w:ascii="Calibri" w:eastAsia="Calibri" w:hAnsi="Calibri" w:cs="Calibri"/>
          <w:bCs/>
          <w:i/>
          <w:lang w:val="en-GB"/>
        </w:rPr>
        <w:t>concepts</w:t>
      </w:r>
      <w:r w:rsidR="0028587B">
        <w:rPr>
          <w:rFonts w:ascii="Calibri" w:eastAsia="Calibri" w:hAnsi="Calibri" w:cs="Calibri"/>
          <w:bCs/>
          <w:i/>
          <w:lang w:val="en-GB"/>
        </w:rPr>
        <w:t>.</w:t>
      </w:r>
      <w:proofErr w:type="gramEnd"/>
      <w:r w:rsidR="007707CC">
        <w:rPr>
          <w:rFonts w:ascii="Calibri" w:eastAsia="Calibri" w:hAnsi="Calibri" w:cs="Calibri"/>
          <w:bCs/>
          <w:i/>
          <w:lang w:val="en-GB"/>
        </w:rPr>
        <w:t xml:space="preserve"> </w:t>
      </w:r>
      <w:r w:rsidR="005C5551">
        <w:rPr>
          <w:rFonts w:ascii="Calibri" w:eastAsia="Calibri" w:hAnsi="Calibri" w:cs="Calibri"/>
          <w:bCs/>
          <w:i/>
          <w:lang w:val="en-GB"/>
        </w:rPr>
        <w:t xml:space="preserve">In addition to local retailers who are essential for this sector, </w:t>
      </w:r>
      <w:r w:rsidR="000F6F3E">
        <w:rPr>
          <w:rFonts w:ascii="Calibri" w:eastAsia="Calibri" w:hAnsi="Calibri" w:cs="Calibri"/>
          <w:bCs/>
          <w:i/>
          <w:lang w:val="en-GB"/>
        </w:rPr>
        <w:t>there is an increasing interest of international operators.</w:t>
      </w:r>
      <w:r w:rsidR="00D1177F">
        <w:rPr>
          <w:rFonts w:ascii="Calibri" w:eastAsia="Calibri" w:hAnsi="Calibri" w:cs="Calibri"/>
          <w:bCs/>
          <w:i/>
          <w:lang w:val="en-GB"/>
        </w:rPr>
        <w:t xml:space="preserve"> In 2018, </w:t>
      </w:r>
      <w:r w:rsidR="00FF37C0">
        <w:rPr>
          <w:rFonts w:ascii="Calibri" w:eastAsia="Calibri" w:hAnsi="Calibri" w:cs="Calibri"/>
          <w:bCs/>
          <w:i/>
          <w:lang w:val="en-GB"/>
        </w:rPr>
        <w:t>gastronomy was the third most active sector with the share of 21% of all newly entering international brands,</w:t>
      </w:r>
      <w:r w:rsidR="00E91D58">
        <w:rPr>
          <w:rFonts w:ascii="Calibri" w:eastAsia="Calibri" w:hAnsi="Calibri" w:cs="Calibri"/>
          <w:bCs/>
          <w:i/>
          <w:lang w:val="en-GB"/>
        </w:rPr>
        <w:t>”</w:t>
      </w:r>
      <w:r w:rsidR="008E3641" w:rsidRPr="007E388B">
        <w:rPr>
          <w:rFonts w:ascii="Calibri" w:eastAsia="Calibri" w:hAnsi="Calibri" w:cs="Calibri"/>
          <w:bCs/>
          <w:lang w:val="en-GB"/>
        </w:rPr>
        <w:t xml:space="preserve"> </w:t>
      </w:r>
      <w:r w:rsidR="007E388B">
        <w:rPr>
          <w:rFonts w:ascii="Calibri" w:eastAsia="Calibri" w:hAnsi="Calibri" w:cs="Calibri"/>
          <w:bCs/>
          <w:lang w:val="en-GB"/>
        </w:rPr>
        <w:t>comments</w:t>
      </w:r>
      <w:r w:rsidR="008E3641" w:rsidRPr="007E388B">
        <w:rPr>
          <w:rFonts w:ascii="Calibri" w:eastAsia="Calibri" w:hAnsi="Calibri" w:cs="Calibri"/>
          <w:bCs/>
          <w:lang w:val="en-GB"/>
        </w:rPr>
        <w:t xml:space="preserve"> </w:t>
      </w:r>
      <w:r w:rsidR="008E3641" w:rsidRPr="007E388B">
        <w:rPr>
          <w:rFonts w:ascii="Calibri" w:eastAsia="Calibri" w:hAnsi="Calibri" w:cs="Calibri"/>
          <w:b/>
          <w:bCs/>
          <w:lang w:val="en-GB"/>
        </w:rPr>
        <w:t xml:space="preserve">Milan </w:t>
      </w:r>
      <w:proofErr w:type="spellStart"/>
      <w:r w:rsidR="008E3641" w:rsidRPr="007E388B">
        <w:rPr>
          <w:rFonts w:ascii="Calibri" w:eastAsia="Calibri" w:hAnsi="Calibri" w:cs="Calibri"/>
          <w:b/>
          <w:bCs/>
          <w:lang w:val="en-GB"/>
        </w:rPr>
        <w:t>Mašša</w:t>
      </w:r>
      <w:proofErr w:type="spellEnd"/>
      <w:r w:rsidR="008E3641" w:rsidRPr="007E388B">
        <w:rPr>
          <w:rFonts w:ascii="Calibri" w:eastAsia="Calibri" w:hAnsi="Calibri" w:cs="Calibri"/>
          <w:b/>
          <w:bCs/>
          <w:lang w:val="en-GB"/>
        </w:rPr>
        <w:t xml:space="preserve">, Head of Retail Advisory &amp; Transaction Services </w:t>
      </w:r>
      <w:r w:rsidR="00DB3B6A">
        <w:rPr>
          <w:rFonts w:ascii="Calibri" w:eastAsia="Calibri" w:hAnsi="Calibri" w:cs="Calibri"/>
          <w:b/>
          <w:bCs/>
          <w:lang w:val="en-GB"/>
        </w:rPr>
        <w:t>at</w:t>
      </w:r>
      <w:r w:rsidR="007E388B">
        <w:rPr>
          <w:rFonts w:ascii="Calibri" w:eastAsia="Calibri" w:hAnsi="Calibri" w:cs="Calibri"/>
          <w:b/>
          <w:bCs/>
          <w:lang w:val="en-GB"/>
        </w:rPr>
        <w:t xml:space="preserve"> </w:t>
      </w:r>
      <w:r w:rsidR="008E3641" w:rsidRPr="007E388B">
        <w:rPr>
          <w:rFonts w:ascii="Calibri" w:eastAsia="Calibri" w:hAnsi="Calibri" w:cs="Calibri"/>
          <w:b/>
          <w:bCs/>
          <w:lang w:val="en-GB"/>
        </w:rPr>
        <w:t>CBRE</w:t>
      </w:r>
      <w:r w:rsidR="008E3641" w:rsidRPr="007E388B">
        <w:rPr>
          <w:rFonts w:ascii="Calibri" w:eastAsia="Calibri" w:hAnsi="Calibri" w:cs="Calibri"/>
          <w:bCs/>
          <w:lang w:val="en-GB"/>
        </w:rPr>
        <w:t>.</w:t>
      </w:r>
    </w:p>
    <w:p w14:paraId="44ADA358" w14:textId="4034BA3F" w:rsidR="007C59B9" w:rsidRPr="007E388B" w:rsidRDefault="00E96F5B" w:rsidP="007C59B9">
      <w:pPr>
        <w:jc w:val="both"/>
        <w:rPr>
          <w:rFonts w:ascii="Calibri" w:eastAsia="Calibri" w:hAnsi="Calibri" w:cs="Calibri"/>
          <w:b/>
          <w:bCs/>
          <w:lang w:val="en-GB"/>
        </w:rPr>
      </w:pPr>
      <w:r w:rsidRPr="007E388B">
        <w:rPr>
          <w:rFonts w:ascii="Calibri" w:eastAsia="Calibri" w:hAnsi="Calibri" w:cs="Calibri"/>
          <w:bCs/>
          <w:lang w:val="en-GB"/>
        </w:rPr>
        <w:br/>
      </w:r>
      <w:r w:rsidR="005225A4">
        <w:rPr>
          <w:rFonts w:ascii="Calibri" w:eastAsia="Calibri" w:hAnsi="Calibri" w:cs="Calibri"/>
          <w:b/>
          <w:bCs/>
          <w:lang w:val="en-GB"/>
        </w:rPr>
        <w:t xml:space="preserve">The value of the </w:t>
      </w:r>
      <w:r w:rsidR="00863AED">
        <w:rPr>
          <w:rFonts w:ascii="Calibri" w:eastAsia="Calibri" w:hAnsi="Calibri" w:cs="Calibri"/>
          <w:b/>
          <w:bCs/>
          <w:lang w:val="en-GB"/>
        </w:rPr>
        <w:t>average basket</w:t>
      </w:r>
      <w:r w:rsidR="005225A4">
        <w:rPr>
          <w:rFonts w:ascii="Calibri" w:eastAsia="Calibri" w:hAnsi="Calibri" w:cs="Calibri"/>
          <w:b/>
          <w:bCs/>
          <w:lang w:val="en-GB"/>
        </w:rPr>
        <w:t xml:space="preserve"> and its content vary in the</w:t>
      </w:r>
      <w:r w:rsidRPr="007E388B">
        <w:rPr>
          <w:rFonts w:ascii="Calibri" w:eastAsia="Calibri" w:hAnsi="Calibri" w:cs="Calibri"/>
          <w:b/>
          <w:bCs/>
          <w:lang w:val="en-GB"/>
        </w:rPr>
        <w:t xml:space="preserve"> CEE</w:t>
      </w:r>
      <w:r w:rsidR="005225A4">
        <w:rPr>
          <w:rFonts w:ascii="Calibri" w:eastAsia="Calibri" w:hAnsi="Calibri" w:cs="Calibri"/>
          <w:b/>
          <w:bCs/>
          <w:lang w:val="en-GB"/>
        </w:rPr>
        <w:t xml:space="preserve"> region</w:t>
      </w:r>
      <w:r w:rsidRPr="007E388B">
        <w:rPr>
          <w:rFonts w:ascii="Calibri" w:eastAsia="Calibri" w:hAnsi="Calibri" w:cs="Calibri"/>
          <w:b/>
          <w:bCs/>
          <w:lang w:val="en-GB"/>
        </w:rPr>
        <w:t xml:space="preserve">, </w:t>
      </w:r>
      <w:r w:rsidR="008106BE">
        <w:rPr>
          <w:rFonts w:ascii="Calibri" w:eastAsia="Calibri" w:hAnsi="Calibri" w:cs="Calibri"/>
          <w:b/>
          <w:bCs/>
          <w:lang w:val="en-GB"/>
        </w:rPr>
        <w:t>but the Czech spend the most</w:t>
      </w:r>
    </w:p>
    <w:p w14:paraId="33D81921" w14:textId="281E7668" w:rsidR="009137D3" w:rsidRDefault="009137D3" w:rsidP="00F84320">
      <w:pPr>
        <w:jc w:val="both"/>
        <w:rPr>
          <w:rFonts w:ascii="Calibri" w:eastAsia="Calibri" w:hAnsi="Calibri" w:cs="Calibri"/>
          <w:bCs/>
          <w:lang w:val="en-GB"/>
        </w:rPr>
      </w:pPr>
      <w:r>
        <w:rPr>
          <w:rFonts w:ascii="Calibri" w:eastAsia="Calibri" w:hAnsi="Calibri" w:cs="Calibri"/>
          <w:bCs/>
          <w:lang w:val="en-GB"/>
        </w:rPr>
        <w:t xml:space="preserve">Shopping centres are most often visited by Slovaks. </w:t>
      </w:r>
      <w:r w:rsidR="0083595D">
        <w:rPr>
          <w:rFonts w:ascii="Calibri" w:eastAsia="Calibri" w:hAnsi="Calibri" w:cs="Calibri"/>
          <w:bCs/>
          <w:lang w:val="en-GB"/>
        </w:rPr>
        <w:t>Shopping is</w:t>
      </w:r>
      <w:r w:rsidR="00863AED">
        <w:rPr>
          <w:rFonts w:ascii="Calibri" w:eastAsia="Calibri" w:hAnsi="Calibri" w:cs="Calibri"/>
          <w:bCs/>
          <w:lang w:val="en-GB"/>
        </w:rPr>
        <w:t xml:space="preserve"> a</w:t>
      </w:r>
      <w:r w:rsidR="0083595D">
        <w:rPr>
          <w:rFonts w:ascii="Calibri" w:eastAsia="Calibri" w:hAnsi="Calibri" w:cs="Calibri"/>
          <w:bCs/>
          <w:lang w:val="en-GB"/>
        </w:rPr>
        <w:t xml:space="preserve"> part of their social life: they love fashion, shoes and accessories.</w:t>
      </w:r>
      <w:r w:rsidR="00A26D5D">
        <w:rPr>
          <w:rFonts w:ascii="Calibri" w:eastAsia="Calibri" w:hAnsi="Calibri" w:cs="Calibri"/>
          <w:bCs/>
          <w:lang w:val="en-GB"/>
        </w:rPr>
        <w:t xml:space="preserve"> Both Czechs and Slovaks</w:t>
      </w:r>
      <w:r w:rsidR="008D70BD">
        <w:rPr>
          <w:rFonts w:ascii="Calibri" w:eastAsia="Calibri" w:hAnsi="Calibri" w:cs="Calibri"/>
          <w:bCs/>
          <w:lang w:val="en-GB"/>
        </w:rPr>
        <w:t xml:space="preserve"> are delighted in buying electronics and sports equipment.</w:t>
      </w:r>
      <w:r w:rsidR="00A23284">
        <w:rPr>
          <w:rFonts w:ascii="Calibri" w:eastAsia="Calibri" w:hAnsi="Calibri" w:cs="Calibri"/>
          <w:bCs/>
          <w:lang w:val="en-GB"/>
        </w:rPr>
        <w:t xml:space="preserve"> Czechs do not visit shopping centres so often</w:t>
      </w:r>
      <w:r w:rsidR="00790735">
        <w:rPr>
          <w:rFonts w:ascii="Calibri" w:eastAsia="Calibri" w:hAnsi="Calibri" w:cs="Calibri"/>
          <w:bCs/>
          <w:lang w:val="en-GB"/>
        </w:rPr>
        <w:t xml:space="preserve">, but they spend the most of all the </w:t>
      </w:r>
      <w:r w:rsidR="00790735">
        <w:rPr>
          <w:rFonts w:ascii="Calibri" w:eastAsia="Calibri" w:hAnsi="Calibri" w:cs="Calibri"/>
          <w:bCs/>
          <w:lang w:val="en-GB"/>
        </w:rPr>
        <w:lastRenderedPageBreak/>
        <w:t xml:space="preserve">monitored countries. </w:t>
      </w:r>
      <w:r w:rsidR="00924627">
        <w:rPr>
          <w:rFonts w:ascii="Calibri" w:eastAsia="Calibri" w:hAnsi="Calibri" w:cs="Calibri"/>
          <w:bCs/>
          <w:lang w:val="en-GB"/>
        </w:rPr>
        <w:t>Approximately CZK 210 per visit and per person.</w:t>
      </w:r>
      <w:r w:rsidR="00D3497C">
        <w:rPr>
          <w:rFonts w:ascii="Calibri" w:eastAsia="Calibri" w:hAnsi="Calibri" w:cs="Calibri"/>
          <w:bCs/>
          <w:lang w:val="en-GB"/>
        </w:rPr>
        <w:t xml:space="preserve"> The size of the </w:t>
      </w:r>
      <w:r w:rsidR="00863AED">
        <w:rPr>
          <w:rFonts w:ascii="Calibri" w:eastAsia="Calibri" w:hAnsi="Calibri" w:cs="Calibri"/>
          <w:bCs/>
          <w:lang w:val="en-GB"/>
        </w:rPr>
        <w:t>average basket</w:t>
      </w:r>
      <w:r w:rsidR="00D3497C">
        <w:rPr>
          <w:rFonts w:ascii="Calibri" w:eastAsia="Calibri" w:hAnsi="Calibri" w:cs="Calibri"/>
          <w:bCs/>
          <w:lang w:val="en-GB"/>
        </w:rPr>
        <w:t xml:space="preserve"> correlates</w:t>
      </w:r>
      <w:r w:rsidR="003731AA">
        <w:rPr>
          <w:rFonts w:ascii="Calibri" w:eastAsia="Calibri" w:hAnsi="Calibri" w:cs="Calibri"/>
          <w:bCs/>
          <w:lang w:val="en-GB"/>
        </w:rPr>
        <w:t xml:space="preserve"> very well with the purchasing power of the population in the given countries.</w:t>
      </w:r>
      <w:r w:rsidR="00AD0DA6">
        <w:rPr>
          <w:rFonts w:ascii="Calibri" w:eastAsia="Calibri" w:hAnsi="Calibri" w:cs="Calibri"/>
          <w:bCs/>
          <w:lang w:val="en-GB"/>
        </w:rPr>
        <w:t xml:space="preserve"> The value of the average </w:t>
      </w:r>
      <w:r w:rsidR="00863AED">
        <w:rPr>
          <w:rFonts w:ascii="Calibri" w:eastAsia="Calibri" w:hAnsi="Calibri" w:cs="Calibri"/>
          <w:bCs/>
          <w:lang w:val="en-GB"/>
        </w:rPr>
        <w:t>basket</w:t>
      </w:r>
      <w:r w:rsidR="00AD0DA6">
        <w:rPr>
          <w:rFonts w:ascii="Calibri" w:eastAsia="Calibri" w:hAnsi="Calibri" w:cs="Calibri"/>
          <w:bCs/>
          <w:lang w:val="en-GB"/>
        </w:rPr>
        <w:t xml:space="preserve"> in Slovakia</w:t>
      </w:r>
      <w:r w:rsidR="008E6EE4">
        <w:rPr>
          <w:rFonts w:ascii="Calibri" w:eastAsia="Calibri" w:hAnsi="Calibri" w:cs="Calibri"/>
          <w:bCs/>
          <w:lang w:val="en-GB"/>
        </w:rPr>
        <w:t xml:space="preserve"> is approx. CZK 155 and CZK 114 in Poland per visitor.</w:t>
      </w:r>
      <w:r w:rsidR="00EB0E2D">
        <w:rPr>
          <w:rFonts w:ascii="Calibri" w:eastAsia="Calibri" w:hAnsi="Calibri" w:cs="Calibri"/>
          <w:bCs/>
          <w:lang w:val="en-GB"/>
        </w:rPr>
        <w:t xml:space="preserve"> Poles spend the least money on fashion and sports. </w:t>
      </w:r>
      <w:r w:rsidR="00CF1773">
        <w:rPr>
          <w:rFonts w:ascii="Calibri" w:eastAsia="Calibri" w:hAnsi="Calibri" w:cs="Calibri"/>
          <w:bCs/>
          <w:lang w:val="en-GB"/>
        </w:rPr>
        <w:t xml:space="preserve">Conversely, they have the highest spending in the sector of </w:t>
      </w:r>
      <w:r w:rsidR="00863AED">
        <w:rPr>
          <w:rFonts w:ascii="Calibri" w:eastAsia="Calibri" w:hAnsi="Calibri" w:cs="Calibri"/>
          <w:bCs/>
          <w:lang w:val="en-GB"/>
        </w:rPr>
        <w:t>H</w:t>
      </w:r>
      <w:r w:rsidR="00CF1773">
        <w:rPr>
          <w:rFonts w:ascii="Calibri" w:eastAsia="Calibri" w:hAnsi="Calibri" w:cs="Calibri"/>
          <w:bCs/>
          <w:lang w:val="en-GB"/>
        </w:rPr>
        <w:t>ousehold</w:t>
      </w:r>
      <w:r w:rsidR="00CF1773" w:rsidRPr="007E388B">
        <w:rPr>
          <w:rFonts w:ascii="Calibri" w:eastAsia="Calibri" w:hAnsi="Calibri" w:cs="Calibri"/>
          <w:bCs/>
          <w:lang w:val="en-GB"/>
        </w:rPr>
        <w:t xml:space="preserve"> &amp;</w:t>
      </w:r>
      <w:r w:rsidR="00CF1773">
        <w:rPr>
          <w:rFonts w:ascii="Calibri" w:eastAsia="Calibri" w:hAnsi="Calibri" w:cs="Calibri"/>
          <w:bCs/>
          <w:lang w:val="en-GB"/>
        </w:rPr>
        <w:t xml:space="preserve"> </w:t>
      </w:r>
      <w:r w:rsidR="00863AED">
        <w:rPr>
          <w:rFonts w:ascii="Calibri" w:eastAsia="Calibri" w:hAnsi="Calibri" w:cs="Calibri"/>
          <w:bCs/>
          <w:lang w:val="en-GB"/>
        </w:rPr>
        <w:t>F</w:t>
      </w:r>
      <w:r w:rsidR="00CF1773">
        <w:rPr>
          <w:rFonts w:ascii="Calibri" w:eastAsia="Calibri" w:hAnsi="Calibri" w:cs="Calibri"/>
          <w:bCs/>
          <w:lang w:val="en-GB"/>
        </w:rPr>
        <w:t xml:space="preserve">urniture. </w:t>
      </w:r>
      <w:r w:rsidR="008D71FD">
        <w:rPr>
          <w:rFonts w:ascii="Calibri" w:eastAsia="Calibri" w:hAnsi="Calibri" w:cs="Calibri"/>
          <w:bCs/>
          <w:lang w:val="en-GB"/>
        </w:rPr>
        <w:t>They do not hesitate to pay for various services in shopping centres</w:t>
      </w:r>
      <w:r w:rsidR="00DB068E">
        <w:rPr>
          <w:rFonts w:ascii="Calibri" w:eastAsia="Calibri" w:hAnsi="Calibri" w:cs="Calibri"/>
          <w:bCs/>
          <w:lang w:val="en-GB"/>
        </w:rPr>
        <w:t xml:space="preserve"> (for examp</w:t>
      </w:r>
      <w:r w:rsidR="00D91756">
        <w:rPr>
          <w:rFonts w:ascii="Calibri" w:eastAsia="Calibri" w:hAnsi="Calibri" w:cs="Calibri"/>
          <w:bCs/>
          <w:lang w:val="en-GB"/>
        </w:rPr>
        <w:t xml:space="preserve">le, hairdressing, beauty salons or travel agencies). </w:t>
      </w:r>
      <w:r w:rsidR="005E467A">
        <w:rPr>
          <w:rFonts w:ascii="Calibri" w:eastAsia="Calibri" w:hAnsi="Calibri" w:cs="Calibri"/>
          <w:bCs/>
          <w:lang w:val="en-GB"/>
        </w:rPr>
        <w:t xml:space="preserve">Spending on gastronomy </w:t>
      </w:r>
      <w:r w:rsidR="00B67C72">
        <w:rPr>
          <w:rFonts w:ascii="Calibri" w:eastAsia="Calibri" w:hAnsi="Calibri" w:cs="Calibri"/>
          <w:bCs/>
          <w:lang w:val="en-GB"/>
        </w:rPr>
        <w:t xml:space="preserve">is </w:t>
      </w:r>
      <w:r w:rsidR="005E467A">
        <w:rPr>
          <w:rFonts w:ascii="Calibri" w:eastAsia="Calibri" w:hAnsi="Calibri" w:cs="Calibri"/>
          <w:bCs/>
          <w:lang w:val="en-GB"/>
        </w:rPr>
        <w:t>comparable to the Czech Republic.</w:t>
      </w:r>
    </w:p>
    <w:p w14:paraId="169DF084" w14:textId="77777777" w:rsidR="00342800" w:rsidRDefault="00342800" w:rsidP="00160E33">
      <w:pPr>
        <w:jc w:val="both"/>
        <w:rPr>
          <w:rFonts w:ascii="Calibri" w:eastAsia="Calibri" w:hAnsi="Calibri" w:cs="Calibri"/>
          <w:bCs/>
          <w:lang w:val="cs-CZ"/>
        </w:rPr>
      </w:pPr>
    </w:p>
    <w:p w14:paraId="73B14F46" w14:textId="23EF8709" w:rsidR="00A75CB4" w:rsidRPr="00F84320" w:rsidRDefault="00342800" w:rsidP="00160E33">
      <w:pPr>
        <w:jc w:val="both"/>
        <w:rPr>
          <w:rFonts w:ascii="Calibri" w:eastAsia="Calibri" w:hAnsi="Calibri" w:cs="Calibri"/>
          <w:bCs/>
          <w:lang w:val="cs-CZ"/>
        </w:rPr>
      </w:pPr>
      <w:r>
        <w:rPr>
          <w:rFonts w:ascii="Calibri" w:eastAsia="Calibri" w:hAnsi="Calibri" w:cs="Calibri"/>
          <w:bCs/>
          <w:lang w:val="cs-CZ"/>
        </w:rPr>
        <w:t xml:space="preserve">                  </w:t>
      </w:r>
      <w:r w:rsidRPr="00342800">
        <w:rPr>
          <w:rFonts w:ascii="Calibri" w:eastAsia="Calibri" w:hAnsi="Calibri" w:cs="Calibri"/>
          <w:bCs/>
          <w:noProof/>
          <w:lang w:val="cs-CZ"/>
        </w:rPr>
        <w:drawing>
          <wp:inline distT="0" distB="0" distL="0" distR="0" wp14:anchorId="47F16730" wp14:editId="009CB37A">
            <wp:extent cx="1739008" cy="2520000"/>
            <wp:effectExtent l="0" t="0" r="0" b="0"/>
            <wp:docPr id="7" name="Obrázek 7" descr="C:\Users\Tereza Štosová\OneDrive - Crest Communications, a.s\PR-Reality\CBRE\Akce\Tisková konference SCI 24.9.19\CEE Shoping Center Index_9_2019\Grafy k tiskové zprávě\Graf_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reza Štosová\OneDrive - Crest Communications, a.s\PR-Reality\CBRE\Akce\Tisková konference SCI 24.9.19\CEE Shoping Center Index_9_2019\Grafy k tiskové zprávě\Graf_II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008" cy="2520000"/>
                    </a:xfrm>
                    <a:prstGeom prst="rect">
                      <a:avLst/>
                    </a:prstGeom>
                    <a:noFill/>
                    <a:ln>
                      <a:noFill/>
                    </a:ln>
                  </pic:spPr>
                </pic:pic>
              </a:graphicData>
            </a:graphic>
          </wp:inline>
        </w:drawing>
      </w:r>
      <w:r w:rsidR="00A75CB4">
        <w:rPr>
          <w:rFonts w:ascii="Calibri" w:eastAsia="Calibri" w:hAnsi="Calibri" w:cs="Calibri"/>
          <w:bCs/>
          <w:lang w:val="cs-CZ"/>
        </w:rPr>
        <w:t xml:space="preserve"> </w:t>
      </w:r>
      <w:r>
        <w:rPr>
          <w:rFonts w:ascii="Calibri" w:eastAsia="Calibri" w:hAnsi="Calibri" w:cs="Calibri"/>
          <w:bCs/>
          <w:lang w:val="cs-CZ"/>
        </w:rPr>
        <w:t xml:space="preserve">                                  </w:t>
      </w:r>
      <w:r w:rsidR="004C1500">
        <w:rPr>
          <w:rFonts w:ascii="Calibri" w:eastAsia="Calibri" w:hAnsi="Calibri" w:cs="Calibri"/>
          <w:bCs/>
          <w:noProof/>
          <w:lang w:val="cs-CZ"/>
        </w:rPr>
        <w:drawing>
          <wp:inline distT="0" distB="0" distL="0" distR="0" wp14:anchorId="08AA4A54" wp14:editId="766592E6">
            <wp:extent cx="1621843" cy="259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843" cy="2592000"/>
                    </a:xfrm>
                    <a:prstGeom prst="rect">
                      <a:avLst/>
                    </a:prstGeom>
                    <a:noFill/>
                    <a:ln>
                      <a:noFill/>
                    </a:ln>
                  </pic:spPr>
                </pic:pic>
              </a:graphicData>
            </a:graphic>
          </wp:inline>
        </w:drawing>
      </w:r>
      <w:bookmarkStart w:id="0" w:name="_GoBack"/>
      <w:bookmarkEnd w:id="0"/>
    </w:p>
    <w:p w14:paraId="721C9D82" w14:textId="77777777" w:rsidR="00A75CB4" w:rsidRPr="0054109B" w:rsidRDefault="00A75CB4" w:rsidP="0054341F">
      <w:pPr>
        <w:jc w:val="both"/>
        <w:rPr>
          <w:rFonts w:ascii="Calibri" w:eastAsia="Calibri" w:hAnsi="Calibri" w:cs="Calibri"/>
          <w:b/>
          <w:bCs/>
          <w:sz w:val="28"/>
          <w:szCs w:val="28"/>
          <w:lang w:val="cs-CZ"/>
        </w:rPr>
      </w:pPr>
    </w:p>
    <w:p w14:paraId="136B8904" w14:textId="44B8178B" w:rsidR="0081514F" w:rsidRPr="00720881" w:rsidRDefault="005774CB" w:rsidP="0054341F">
      <w:pPr>
        <w:jc w:val="both"/>
        <w:rPr>
          <w:rFonts w:ascii="Calibri" w:eastAsia="Calibri" w:hAnsi="Calibri" w:cs="Calibri"/>
          <w:b/>
          <w:bCs/>
          <w:lang w:val="en-GB"/>
        </w:rPr>
      </w:pPr>
      <w:r>
        <w:rPr>
          <w:rFonts w:ascii="Calibri" w:eastAsia="Calibri" w:hAnsi="Calibri" w:cs="Calibri"/>
          <w:b/>
          <w:bCs/>
          <w:lang w:val="en-GB"/>
        </w:rPr>
        <w:t>The average unit size is around</w:t>
      </w:r>
      <w:r w:rsidR="00134891" w:rsidRPr="00720881">
        <w:rPr>
          <w:rFonts w:ascii="Calibri" w:eastAsia="Calibri" w:hAnsi="Calibri" w:cs="Calibri"/>
          <w:b/>
          <w:bCs/>
          <w:lang w:val="en-GB"/>
        </w:rPr>
        <w:t xml:space="preserve"> 200</w:t>
      </w:r>
      <w:r w:rsidR="001D147F">
        <w:rPr>
          <w:rFonts w:ascii="Calibri" w:eastAsia="Calibri" w:hAnsi="Calibri" w:cs="Calibri"/>
          <w:b/>
          <w:bCs/>
          <w:lang w:val="en-GB"/>
        </w:rPr>
        <w:t xml:space="preserve"> </w:t>
      </w:r>
      <w:proofErr w:type="spellStart"/>
      <w:r w:rsidR="001D147F">
        <w:rPr>
          <w:rFonts w:ascii="Calibri" w:eastAsia="Calibri" w:hAnsi="Calibri" w:cs="Calibri"/>
          <w:b/>
          <w:bCs/>
          <w:lang w:val="en-GB"/>
        </w:rPr>
        <w:t>sqm</w:t>
      </w:r>
      <w:proofErr w:type="spellEnd"/>
      <w:r w:rsidR="00134891" w:rsidRPr="00720881">
        <w:rPr>
          <w:rFonts w:ascii="Calibri" w:eastAsia="Calibri" w:hAnsi="Calibri" w:cs="Calibri"/>
          <w:b/>
          <w:bCs/>
          <w:lang w:val="en-GB"/>
        </w:rPr>
        <w:t xml:space="preserve">, </w:t>
      </w:r>
      <w:r>
        <w:rPr>
          <w:rFonts w:ascii="Calibri" w:eastAsia="Calibri" w:hAnsi="Calibri" w:cs="Calibri"/>
          <w:b/>
          <w:bCs/>
          <w:lang w:val="en-GB"/>
        </w:rPr>
        <w:t>the rent size is influenced by anchor tenants</w:t>
      </w:r>
    </w:p>
    <w:p w14:paraId="75721CF0" w14:textId="43E0F7BB" w:rsidR="005B2E58" w:rsidRPr="00EC5786" w:rsidRDefault="000235C6" w:rsidP="003975B6">
      <w:pPr>
        <w:jc w:val="both"/>
        <w:rPr>
          <w:rFonts w:ascii="Calibri" w:eastAsia="Calibri" w:hAnsi="Calibri" w:cs="Calibri"/>
          <w:bCs/>
          <w:lang w:val="en-GB"/>
        </w:rPr>
      </w:pPr>
      <w:r>
        <w:rPr>
          <w:rFonts w:ascii="Calibri" w:eastAsia="Calibri" w:hAnsi="Calibri" w:cs="Calibri"/>
          <w:bCs/>
          <w:lang w:val="en-GB"/>
        </w:rPr>
        <w:t>While in the regions of the Czech Republic and Poland (apart from capital cities)</w:t>
      </w:r>
      <w:r w:rsidR="00B10EB3">
        <w:rPr>
          <w:rFonts w:ascii="Calibri" w:eastAsia="Calibri" w:hAnsi="Calibri" w:cs="Calibri"/>
          <w:bCs/>
          <w:lang w:val="en-GB"/>
        </w:rPr>
        <w:t xml:space="preserve"> large-scale shopping centres</w:t>
      </w:r>
      <w:r w:rsidR="00267B5C">
        <w:rPr>
          <w:rFonts w:ascii="Calibri" w:eastAsia="Calibri" w:hAnsi="Calibri" w:cs="Calibri"/>
          <w:bCs/>
          <w:lang w:val="en-GB"/>
        </w:rPr>
        <w:t xml:space="preserve"> represent about 30%</w:t>
      </w:r>
      <w:r w:rsidR="00AF6053">
        <w:rPr>
          <w:rFonts w:ascii="Calibri" w:eastAsia="Calibri" w:hAnsi="Calibri" w:cs="Calibri"/>
          <w:bCs/>
          <w:lang w:val="en-GB"/>
        </w:rPr>
        <w:t xml:space="preserve"> of the total area, </w:t>
      </w:r>
      <w:r w:rsidR="00D37894">
        <w:rPr>
          <w:rFonts w:ascii="Calibri" w:eastAsia="Calibri" w:hAnsi="Calibri" w:cs="Calibri"/>
          <w:bCs/>
          <w:lang w:val="en-GB"/>
        </w:rPr>
        <w:t>it is less than 10% in Slovakia.</w:t>
      </w:r>
      <w:r w:rsidR="00035286">
        <w:rPr>
          <w:rFonts w:ascii="Calibri" w:eastAsia="Calibri" w:hAnsi="Calibri" w:cs="Calibri"/>
          <w:bCs/>
          <w:lang w:val="en-GB"/>
        </w:rPr>
        <w:t xml:space="preserve"> This to a certain extent corresponds </w:t>
      </w:r>
      <w:r w:rsidR="00E939E9">
        <w:rPr>
          <w:rFonts w:ascii="Calibri" w:eastAsia="Calibri" w:hAnsi="Calibri" w:cs="Calibri"/>
          <w:bCs/>
          <w:lang w:val="en-GB"/>
        </w:rPr>
        <w:t xml:space="preserve">to the size of retail markets of </w:t>
      </w:r>
      <w:r w:rsidR="00494C1D">
        <w:rPr>
          <w:rFonts w:ascii="Calibri" w:eastAsia="Calibri" w:hAnsi="Calibri" w:cs="Calibri"/>
          <w:bCs/>
          <w:lang w:val="en-GB"/>
        </w:rPr>
        <w:t>individual</w:t>
      </w:r>
      <w:r w:rsidR="00E939E9">
        <w:rPr>
          <w:rFonts w:ascii="Calibri" w:eastAsia="Calibri" w:hAnsi="Calibri" w:cs="Calibri"/>
          <w:bCs/>
          <w:lang w:val="en-GB"/>
        </w:rPr>
        <w:t xml:space="preserve"> countries.</w:t>
      </w:r>
      <w:r w:rsidR="00494C1D">
        <w:rPr>
          <w:rFonts w:ascii="Calibri" w:eastAsia="Calibri" w:hAnsi="Calibri" w:cs="Calibri"/>
          <w:bCs/>
          <w:lang w:val="en-GB"/>
        </w:rPr>
        <w:t xml:space="preserve"> </w:t>
      </w:r>
      <w:r w:rsidR="00166316">
        <w:rPr>
          <w:rFonts w:ascii="Calibri" w:eastAsia="Calibri" w:hAnsi="Calibri" w:cs="Calibri"/>
          <w:bCs/>
          <w:lang w:val="en-GB"/>
        </w:rPr>
        <w:t>The average size of a leased unit</w:t>
      </w:r>
      <w:r w:rsidR="00FA0B40">
        <w:rPr>
          <w:rFonts w:ascii="Calibri" w:eastAsia="Calibri" w:hAnsi="Calibri" w:cs="Calibri"/>
          <w:bCs/>
          <w:lang w:val="en-GB"/>
        </w:rPr>
        <w:t xml:space="preserve"> in a shopping centre based on the analysed sample is </w:t>
      </w:r>
      <w:r w:rsidR="00EA2ADB" w:rsidRPr="00720881">
        <w:rPr>
          <w:rFonts w:ascii="Calibri" w:eastAsia="Calibri" w:hAnsi="Calibri" w:cs="Calibri"/>
          <w:bCs/>
          <w:lang w:val="en-GB"/>
        </w:rPr>
        <w:t>227</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FA0B40">
        <w:rPr>
          <w:rFonts w:ascii="Calibri" w:eastAsia="Calibri" w:hAnsi="Calibri" w:cs="Calibri"/>
          <w:bCs/>
          <w:vertAlign w:val="superscript"/>
          <w:lang w:val="en-GB"/>
        </w:rPr>
        <w:t xml:space="preserve"> </w:t>
      </w:r>
      <w:r w:rsidR="00FA0B40">
        <w:rPr>
          <w:rFonts w:ascii="Calibri" w:eastAsia="Calibri" w:hAnsi="Calibri" w:cs="Calibri"/>
          <w:bCs/>
          <w:lang w:val="en-GB"/>
        </w:rPr>
        <w:t>in Poland</w:t>
      </w:r>
      <w:r w:rsidR="00EA2ADB" w:rsidRPr="00720881">
        <w:rPr>
          <w:rFonts w:ascii="Calibri" w:eastAsia="Calibri" w:hAnsi="Calibri" w:cs="Calibri"/>
          <w:bCs/>
          <w:lang w:val="en-GB"/>
        </w:rPr>
        <w:t>, 207</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FA0B40">
        <w:rPr>
          <w:rFonts w:ascii="Calibri" w:eastAsia="Calibri" w:hAnsi="Calibri" w:cs="Calibri"/>
          <w:bCs/>
          <w:lang w:val="en-GB"/>
        </w:rPr>
        <w:t xml:space="preserve"> in the Czech Republic and</w:t>
      </w:r>
      <w:r w:rsidR="00EA2ADB" w:rsidRPr="00720881">
        <w:rPr>
          <w:rFonts w:ascii="Calibri" w:eastAsia="Calibri" w:hAnsi="Calibri" w:cs="Calibri"/>
          <w:bCs/>
          <w:lang w:val="en-GB"/>
        </w:rPr>
        <w:t xml:space="preserve"> 170</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FA0B40">
        <w:rPr>
          <w:rFonts w:ascii="Calibri" w:eastAsia="Calibri" w:hAnsi="Calibri" w:cs="Calibri"/>
          <w:bCs/>
          <w:lang w:val="en-GB"/>
        </w:rPr>
        <w:t xml:space="preserve"> in Slovakia.</w:t>
      </w:r>
      <w:r w:rsidR="00EA2ADB" w:rsidRPr="00720881">
        <w:rPr>
          <w:rFonts w:ascii="Calibri" w:eastAsia="Calibri" w:hAnsi="Calibri" w:cs="Calibri"/>
          <w:bCs/>
          <w:lang w:val="en-GB"/>
        </w:rPr>
        <w:t xml:space="preserve"> </w:t>
      </w:r>
      <w:r w:rsidR="005B2E58">
        <w:rPr>
          <w:rFonts w:ascii="Calibri" w:eastAsia="Calibri" w:hAnsi="Calibri" w:cs="Calibri"/>
          <w:bCs/>
          <w:lang w:val="en-GB"/>
        </w:rPr>
        <w:t xml:space="preserve">Among other things, </w:t>
      </w:r>
      <w:r w:rsidR="00E370AB">
        <w:rPr>
          <w:rFonts w:ascii="Calibri" w:eastAsia="Calibri" w:hAnsi="Calibri" w:cs="Calibri"/>
          <w:bCs/>
          <w:lang w:val="en-GB"/>
        </w:rPr>
        <w:t>this is influenced</w:t>
      </w:r>
      <w:r w:rsidR="00165403">
        <w:rPr>
          <w:rFonts w:ascii="Calibri" w:eastAsia="Calibri" w:hAnsi="Calibri" w:cs="Calibri"/>
          <w:bCs/>
          <w:lang w:val="en-GB"/>
        </w:rPr>
        <w:t xml:space="preserve"> by the strong position of anchor </w:t>
      </w:r>
      <w:r w:rsidR="00B67912">
        <w:rPr>
          <w:rFonts w:ascii="Calibri" w:eastAsia="Calibri" w:hAnsi="Calibri" w:cs="Calibri"/>
          <w:bCs/>
          <w:lang w:val="en-GB"/>
        </w:rPr>
        <w:t>tenants</w:t>
      </w:r>
      <w:r w:rsidR="002607FD">
        <w:rPr>
          <w:rFonts w:ascii="Calibri" w:eastAsia="Calibri" w:hAnsi="Calibri" w:cs="Calibri"/>
          <w:bCs/>
          <w:lang w:val="en-GB"/>
        </w:rPr>
        <w:t xml:space="preserve"> who </w:t>
      </w:r>
      <w:r w:rsidR="002607FD" w:rsidRPr="00EC5786">
        <w:rPr>
          <w:rFonts w:ascii="Calibri" w:eastAsia="Calibri" w:hAnsi="Calibri" w:cs="Calibri"/>
          <w:bCs/>
          <w:lang w:val="en-GB"/>
        </w:rPr>
        <w:t>usually rent the two largest categories of retail units</w:t>
      </w:r>
      <w:r w:rsidR="003975B6" w:rsidRPr="00EC5786">
        <w:rPr>
          <w:rFonts w:ascii="Calibri" w:eastAsia="Calibri" w:hAnsi="Calibri" w:cs="Calibri"/>
          <w:bCs/>
          <w:lang w:val="en-GB"/>
        </w:rPr>
        <w:t xml:space="preserve"> (with the size over 500</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3975B6" w:rsidRPr="00EC5786">
        <w:rPr>
          <w:rFonts w:ascii="Calibri" w:eastAsia="Calibri" w:hAnsi="Calibri" w:cs="Calibri"/>
          <w:bCs/>
          <w:lang w:val="en-GB"/>
        </w:rPr>
        <w:t>).</w:t>
      </w:r>
      <w:r w:rsidR="008C2782" w:rsidRPr="00EC5786">
        <w:rPr>
          <w:rFonts w:ascii="Calibri" w:eastAsia="Calibri" w:hAnsi="Calibri" w:cs="Calibri"/>
          <w:bCs/>
          <w:lang w:val="en-GB"/>
        </w:rPr>
        <w:t xml:space="preserve"> </w:t>
      </w:r>
      <w:r w:rsidR="00437F5D" w:rsidRPr="00EC5786">
        <w:rPr>
          <w:rFonts w:ascii="Calibri" w:eastAsia="Calibri" w:hAnsi="Calibri" w:cs="Calibri"/>
          <w:bCs/>
          <w:lang w:val="en-GB"/>
        </w:rPr>
        <w:t xml:space="preserve">Their share in the CEE region represents approximately </w:t>
      </w:r>
      <w:r w:rsidR="00873B1D" w:rsidRPr="00EC5786">
        <w:rPr>
          <w:rFonts w:ascii="Calibri" w:eastAsia="Calibri" w:hAnsi="Calibri" w:cs="Calibri"/>
          <w:bCs/>
          <w:lang w:val="en-GB"/>
        </w:rPr>
        <w:t>50% of the total area of shopping centres.</w:t>
      </w:r>
    </w:p>
    <w:p w14:paraId="1765E241" w14:textId="77777777" w:rsidR="00EA2ADB" w:rsidRPr="00EC5786" w:rsidRDefault="00EA2ADB" w:rsidP="000C3DD0">
      <w:pPr>
        <w:jc w:val="both"/>
        <w:rPr>
          <w:rFonts w:ascii="Calibri" w:eastAsia="Calibri" w:hAnsi="Calibri" w:cs="Calibri"/>
          <w:bCs/>
          <w:lang w:val="en-GB"/>
        </w:rPr>
      </w:pPr>
    </w:p>
    <w:p w14:paraId="4D2EFA3E" w14:textId="32AE2D70" w:rsidR="000C3DD0" w:rsidRPr="00EC5786" w:rsidRDefault="00F2703F" w:rsidP="000C3DD0">
      <w:pPr>
        <w:jc w:val="both"/>
        <w:rPr>
          <w:rFonts w:ascii="Calibri" w:eastAsia="Calibri" w:hAnsi="Calibri" w:cs="Calibri"/>
          <w:bCs/>
          <w:lang w:val="en-GB"/>
        </w:rPr>
      </w:pPr>
      <w:r>
        <w:rPr>
          <w:rFonts w:ascii="Calibri" w:eastAsia="Calibri" w:hAnsi="Calibri" w:cs="Calibri"/>
          <w:bCs/>
          <w:i/>
          <w:lang w:val="en-GB"/>
        </w:rPr>
        <w:t>“Anchor tenants have a significant influence</w:t>
      </w:r>
      <w:r w:rsidR="00AA397A">
        <w:rPr>
          <w:rFonts w:ascii="Calibri" w:eastAsia="Calibri" w:hAnsi="Calibri" w:cs="Calibri"/>
          <w:bCs/>
          <w:i/>
          <w:lang w:val="en-GB"/>
        </w:rPr>
        <w:t xml:space="preserve"> on the average rent: 56% in Poland, </w:t>
      </w:r>
      <w:r w:rsidR="00B41DDC">
        <w:rPr>
          <w:rFonts w:ascii="Calibri" w:eastAsia="Calibri" w:hAnsi="Calibri" w:cs="Calibri"/>
          <w:bCs/>
          <w:i/>
          <w:lang w:val="en-GB"/>
        </w:rPr>
        <w:t>4</w:t>
      </w:r>
      <w:r w:rsidR="00AA397A">
        <w:rPr>
          <w:rFonts w:ascii="Calibri" w:eastAsia="Calibri" w:hAnsi="Calibri" w:cs="Calibri"/>
          <w:bCs/>
          <w:i/>
          <w:lang w:val="en-GB"/>
        </w:rPr>
        <w:t>7% in the Czec</w:t>
      </w:r>
      <w:r w:rsidR="00DC2A23">
        <w:rPr>
          <w:rFonts w:ascii="Calibri" w:eastAsia="Calibri" w:hAnsi="Calibri" w:cs="Calibri"/>
          <w:bCs/>
          <w:i/>
          <w:lang w:val="en-GB"/>
        </w:rPr>
        <w:t xml:space="preserve">h Republic and 40% of area of the shopping </w:t>
      </w:r>
      <w:r w:rsidR="000346DB">
        <w:rPr>
          <w:rFonts w:ascii="Calibri" w:eastAsia="Calibri" w:hAnsi="Calibri" w:cs="Calibri"/>
          <w:bCs/>
          <w:i/>
          <w:lang w:val="en-GB"/>
        </w:rPr>
        <w:t>gallery</w:t>
      </w:r>
      <w:r w:rsidR="00DC2A23">
        <w:rPr>
          <w:rFonts w:ascii="Calibri" w:eastAsia="Calibri" w:hAnsi="Calibri" w:cs="Calibri"/>
          <w:bCs/>
          <w:i/>
          <w:lang w:val="en-GB"/>
        </w:rPr>
        <w:t xml:space="preserve"> in Slovakia</w:t>
      </w:r>
      <w:r w:rsidR="002F04DB">
        <w:rPr>
          <w:rFonts w:ascii="Calibri" w:eastAsia="Calibri" w:hAnsi="Calibri" w:cs="Calibri"/>
          <w:bCs/>
          <w:i/>
          <w:lang w:val="en-GB"/>
        </w:rPr>
        <w:t xml:space="preserve">. The total average rent in Slovakia </w:t>
      </w:r>
      <w:r w:rsidR="005D5E31">
        <w:rPr>
          <w:rFonts w:ascii="Calibri" w:eastAsia="Calibri" w:hAnsi="Calibri" w:cs="Calibri"/>
          <w:bCs/>
          <w:i/>
          <w:lang w:val="en-GB"/>
        </w:rPr>
        <w:t>is approximately 8% higher</w:t>
      </w:r>
      <w:r w:rsidR="00A30B75">
        <w:rPr>
          <w:rFonts w:ascii="Calibri" w:eastAsia="Calibri" w:hAnsi="Calibri" w:cs="Calibri"/>
          <w:bCs/>
          <w:i/>
          <w:lang w:val="en-GB"/>
        </w:rPr>
        <w:t xml:space="preserve"> than in the Czech Republic.</w:t>
      </w:r>
      <w:r w:rsidR="002D424B">
        <w:rPr>
          <w:rFonts w:ascii="Calibri" w:eastAsia="Calibri" w:hAnsi="Calibri" w:cs="Calibri"/>
          <w:bCs/>
          <w:i/>
          <w:lang w:val="en-GB"/>
        </w:rPr>
        <w:t xml:space="preserve"> The least expensive is renting a retail unit in Poland</w:t>
      </w:r>
      <w:r w:rsidR="00C15081">
        <w:rPr>
          <w:rFonts w:ascii="Calibri" w:eastAsia="Calibri" w:hAnsi="Calibri" w:cs="Calibri"/>
          <w:bCs/>
          <w:i/>
          <w:lang w:val="en-GB"/>
        </w:rPr>
        <w:t xml:space="preserve">, where it is 27% more favourable </w:t>
      </w:r>
      <w:r w:rsidR="008A1B04">
        <w:rPr>
          <w:rFonts w:ascii="Calibri" w:eastAsia="Calibri" w:hAnsi="Calibri" w:cs="Calibri"/>
          <w:bCs/>
          <w:i/>
          <w:lang w:val="en-GB"/>
        </w:rPr>
        <w:t>than in Slovakia</w:t>
      </w:r>
      <w:r w:rsidR="00B64DD0">
        <w:rPr>
          <w:rFonts w:ascii="Calibri" w:eastAsia="Calibri" w:hAnsi="Calibri" w:cs="Calibri"/>
          <w:bCs/>
          <w:i/>
          <w:lang w:val="en-GB"/>
        </w:rPr>
        <w:t xml:space="preserve"> and 21% more than in the Czech Republic.</w:t>
      </w:r>
      <w:r w:rsidR="00384A29">
        <w:rPr>
          <w:rFonts w:ascii="Calibri" w:eastAsia="Calibri" w:hAnsi="Calibri" w:cs="Calibri"/>
          <w:bCs/>
          <w:i/>
          <w:lang w:val="en-GB"/>
        </w:rPr>
        <w:t xml:space="preserve"> This is influenced</w:t>
      </w:r>
      <w:r w:rsidR="002856BE">
        <w:rPr>
          <w:rFonts w:ascii="Calibri" w:eastAsia="Calibri" w:hAnsi="Calibri" w:cs="Calibri"/>
          <w:bCs/>
          <w:i/>
          <w:lang w:val="en-GB"/>
        </w:rPr>
        <w:t xml:space="preserve"> especially by the lower rental levels</w:t>
      </w:r>
      <w:r w:rsidR="00B41BF1">
        <w:rPr>
          <w:rFonts w:ascii="Calibri" w:eastAsia="Calibri" w:hAnsi="Calibri" w:cs="Calibri"/>
          <w:bCs/>
          <w:i/>
          <w:lang w:val="en-GB"/>
        </w:rPr>
        <w:t xml:space="preserve"> in the </w:t>
      </w:r>
      <w:r w:rsidR="00AC1788">
        <w:rPr>
          <w:rFonts w:ascii="Calibri" w:eastAsia="Calibri" w:hAnsi="Calibri" w:cs="Calibri"/>
          <w:bCs/>
          <w:i/>
          <w:lang w:val="en-GB"/>
        </w:rPr>
        <w:t xml:space="preserve">Household </w:t>
      </w:r>
      <w:r w:rsidR="00B41BF1">
        <w:rPr>
          <w:rFonts w:ascii="Calibri" w:eastAsia="Calibri" w:hAnsi="Calibri" w:cs="Calibri"/>
          <w:bCs/>
          <w:i/>
          <w:lang w:val="en-GB"/>
        </w:rPr>
        <w:t xml:space="preserve">&amp; </w:t>
      </w:r>
      <w:r w:rsidR="00AC1788">
        <w:rPr>
          <w:rFonts w:ascii="Calibri" w:eastAsia="Calibri" w:hAnsi="Calibri" w:cs="Calibri"/>
          <w:bCs/>
          <w:i/>
          <w:lang w:val="en-GB"/>
        </w:rPr>
        <w:t xml:space="preserve">Furniture </w:t>
      </w:r>
      <w:r w:rsidR="00B41BF1">
        <w:rPr>
          <w:rFonts w:ascii="Calibri" w:eastAsia="Calibri" w:hAnsi="Calibri" w:cs="Calibri"/>
          <w:bCs/>
          <w:i/>
          <w:lang w:val="en-GB"/>
        </w:rPr>
        <w:t>sectors and also by its significant 1</w:t>
      </w:r>
      <w:r w:rsidR="000C3DD0" w:rsidRPr="00EC5786">
        <w:rPr>
          <w:rFonts w:ascii="Calibri" w:eastAsia="Calibri" w:hAnsi="Calibri" w:cs="Calibri"/>
          <w:bCs/>
          <w:i/>
          <w:lang w:val="en-GB"/>
        </w:rPr>
        <w:t>2</w:t>
      </w:r>
      <w:r w:rsidR="00985E72" w:rsidRPr="00EC5786">
        <w:rPr>
          <w:rFonts w:ascii="Calibri" w:eastAsia="Calibri" w:hAnsi="Calibri" w:cs="Calibri"/>
          <w:bCs/>
          <w:i/>
          <w:lang w:val="en-GB"/>
        </w:rPr>
        <w:t xml:space="preserve">% </w:t>
      </w:r>
      <w:r w:rsidR="00B41BF1">
        <w:rPr>
          <w:rFonts w:ascii="Calibri" w:eastAsia="Calibri" w:hAnsi="Calibri" w:cs="Calibri"/>
          <w:bCs/>
          <w:i/>
          <w:lang w:val="en-GB"/>
        </w:rPr>
        <w:t>share of the total area</w:t>
      </w:r>
      <w:r w:rsidR="00960BC6">
        <w:rPr>
          <w:rFonts w:ascii="Calibri" w:eastAsia="Calibri" w:hAnsi="Calibri" w:cs="Calibri"/>
          <w:bCs/>
          <w:i/>
          <w:lang w:val="en-GB"/>
        </w:rPr>
        <w:t>,”</w:t>
      </w:r>
      <w:r w:rsidR="00985E72" w:rsidRPr="00EC5786">
        <w:rPr>
          <w:rFonts w:ascii="Calibri" w:eastAsia="Calibri" w:hAnsi="Calibri" w:cs="Calibri"/>
          <w:bCs/>
          <w:lang w:val="en-GB"/>
        </w:rPr>
        <w:t xml:space="preserve"> </w:t>
      </w:r>
      <w:r w:rsidR="00EC5786">
        <w:rPr>
          <w:rFonts w:ascii="Calibri" w:eastAsia="Calibri" w:hAnsi="Calibri" w:cs="Calibri"/>
          <w:bCs/>
          <w:lang w:val="en-GB"/>
        </w:rPr>
        <w:t>states</w:t>
      </w:r>
      <w:r w:rsidR="00985E72" w:rsidRPr="00EC5786">
        <w:rPr>
          <w:rFonts w:ascii="Calibri" w:eastAsia="Calibri" w:hAnsi="Calibri" w:cs="Calibri"/>
          <w:bCs/>
          <w:lang w:val="en-GB"/>
        </w:rPr>
        <w:t xml:space="preserve"> </w:t>
      </w:r>
      <w:proofErr w:type="spellStart"/>
      <w:r w:rsidR="00985E72" w:rsidRPr="00EC5786">
        <w:rPr>
          <w:rFonts w:ascii="Calibri" w:eastAsia="Calibri" w:hAnsi="Calibri" w:cs="Calibri"/>
          <w:b/>
          <w:bCs/>
          <w:lang w:val="en-GB"/>
        </w:rPr>
        <w:t>Tomáš</w:t>
      </w:r>
      <w:proofErr w:type="spellEnd"/>
      <w:r w:rsidR="00985E72" w:rsidRPr="00EC5786">
        <w:rPr>
          <w:rFonts w:ascii="Calibri" w:eastAsia="Calibri" w:hAnsi="Calibri" w:cs="Calibri"/>
          <w:b/>
          <w:bCs/>
          <w:lang w:val="en-GB"/>
        </w:rPr>
        <w:t xml:space="preserve"> </w:t>
      </w:r>
      <w:proofErr w:type="spellStart"/>
      <w:r w:rsidR="00985E72" w:rsidRPr="00EC5786">
        <w:rPr>
          <w:rFonts w:ascii="Calibri" w:eastAsia="Calibri" w:hAnsi="Calibri" w:cs="Calibri"/>
          <w:b/>
          <w:bCs/>
          <w:lang w:val="en-GB"/>
        </w:rPr>
        <w:t>Míček</w:t>
      </w:r>
      <w:proofErr w:type="spellEnd"/>
      <w:r w:rsidR="00985E72" w:rsidRPr="00EC5786">
        <w:rPr>
          <w:rFonts w:ascii="Calibri" w:eastAsia="Calibri" w:hAnsi="Calibri" w:cs="Calibri"/>
          <w:b/>
          <w:bCs/>
          <w:lang w:val="en-GB"/>
        </w:rPr>
        <w:t xml:space="preserve">, Head of Property Management – Retail </w:t>
      </w:r>
      <w:r w:rsidR="00DB3B6A">
        <w:rPr>
          <w:rFonts w:ascii="Calibri" w:eastAsia="Calibri" w:hAnsi="Calibri" w:cs="Calibri"/>
          <w:b/>
          <w:bCs/>
          <w:lang w:val="en-GB"/>
        </w:rPr>
        <w:t>at</w:t>
      </w:r>
      <w:r w:rsidR="00985E72" w:rsidRPr="00EC5786">
        <w:rPr>
          <w:rFonts w:ascii="Calibri" w:eastAsia="Calibri" w:hAnsi="Calibri" w:cs="Calibri"/>
          <w:b/>
          <w:bCs/>
          <w:lang w:val="en-GB"/>
        </w:rPr>
        <w:t xml:space="preserve"> CBRE</w:t>
      </w:r>
      <w:r w:rsidR="00D43291" w:rsidRPr="00EC5786">
        <w:rPr>
          <w:rFonts w:ascii="Calibri" w:eastAsia="Calibri" w:hAnsi="Calibri" w:cs="Calibri"/>
          <w:bCs/>
          <w:lang w:val="en-GB"/>
        </w:rPr>
        <w:t>.</w:t>
      </w:r>
    </w:p>
    <w:p w14:paraId="1E42F40B" w14:textId="77777777" w:rsidR="000C3DD0" w:rsidRPr="00EC5786" w:rsidRDefault="000C3DD0" w:rsidP="0054341F">
      <w:pPr>
        <w:jc w:val="both"/>
        <w:rPr>
          <w:rFonts w:ascii="Calibri" w:eastAsia="Calibri" w:hAnsi="Calibri" w:cs="Calibri"/>
          <w:bCs/>
          <w:lang w:val="en-GB"/>
        </w:rPr>
      </w:pPr>
    </w:p>
    <w:p w14:paraId="072CF047" w14:textId="4CC0A02F" w:rsidR="00626E5A" w:rsidRPr="00CD6B40" w:rsidRDefault="000742FA" w:rsidP="00F37C17">
      <w:pPr>
        <w:jc w:val="both"/>
        <w:rPr>
          <w:rFonts w:ascii="Calibri" w:eastAsia="Calibri" w:hAnsi="Calibri" w:cs="Calibri"/>
          <w:bCs/>
          <w:lang w:val="en-GB"/>
        </w:rPr>
      </w:pPr>
      <w:r>
        <w:rPr>
          <w:rFonts w:ascii="Calibri" w:eastAsia="Calibri" w:hAnsi="Calibri" w:cs="Calibri"/>
          <w:bCs/>
          <w:lang w:val="en-GB"/>
        </w:rPr>
        <w:t>While the strong centres that underwent remodelling in recent years showed an increase or stability in the overall average rent</w:t>
      </w:r>
      <w:r w:rsidR="009F0C66">
        <w:rPr>
          <w:rFonts w:ascii="Calibri" w:eastAsia="Calibri" w:hAnsi="Calibri" w:cs="Calibri"/>
          <w:bCs/>
          <w:lang w:val="en-GB"/>
        </w:rPr>
        <w:t>, the remaining centres declined.</w:t>
      </w:r>
      <w:r w:rsidR="00DC5880">
        <w:rPr>
          <w:rFonts w:ascii="Calibri" w:eastAsia="Calibri" w:hAnsi="Calibri" w:cs="Calibri"/>
          <w:bCs/>
          <w:lang w:val="en-GB"/>
        </w:rPr>
        <w:t xml:space="preserve"> </w:t>
      </w:r>
      <w:r w:rsidR="000E311A">
        <w:rPr>
          <w:rFonts w:ascii="Calibri" w:eastAsia="Calibri" w:hAnsi="Calibri" w:cs="Calibri"/>
          <w:bCs/>
          <w:lang w:val="en-GB"/>
        </w:rPr>
        <w:t>The average rent increased year-on-year only in the Czech Republic</w:t>
      </w:r>
      <w:r w:rsidR="002455ED">
        <w:rPr>
          <w:rFonts w:ascii="Calibri" w:eastAsia="Calibri" w:hAnsi="Calibri" w:cs="Calibri"/>
          <w:bCs/>
          <w:lang w:val="en-GB"/>
        </w:rPr>
        <w:t xml:space="preserve"> </w:t>
      </w:r>
      <w:r w:rsidR="00CE618A" w:rsidRPr="00EC5786">
        <w:rPr>
          <w:rFonts w:ascii="Calibri" w:eastAsia="Calibri" w:hAnsi="Calibri" w:cs="Calibri"/>
          <w:bCs/>
          <w:lang w:val="en-GB"/>
        </w:rPr>
        <w:t>(</w:t>
      </w:r>
      <w:r w:rsidR="001F3DC2">
        <w:rPr>
          <w:rFonts w:ascii="Calibri" w:eastAsia="Calibri" w:hAnsi="Calibri" w:cs="Calibri"/>
          <w:bCs/>
          <w:lang w:val="en-GB"/>
        </w:rPr>
        <w:t>1</w:t>
      </w:r>
      <w:r w:rsidR="00CF1159" w:rsidRPr="00EC5786">
        <w:rPr>
          <w:rFonts w:ascii="Calibri" w:eastAsia="Calibri" w:hAnsi="Calibri" w:cs="Calibri"/>
          <w:bCs/>
          <w:lang w:val="en-GB"/>
        </w:rPr>
        <w:t>%</w:t>
      </w:r>
      <w:r w:rsidR="00CE618A" w:rsidRPr="00EC5786">
        <w:rPr>
          <w:rFonts w:ascii="Calibri" w:eastAsia="Calibri" w:hAnsi="Calibri" w:cs="Calibri"/>
          <w:bCs/>
          <w:lang w:val="en-GB"/>
        </w:rPr>
        <w:t>);</w:t>
      </w:r>
      <w:r w:rsidR="00CF1159" w:rsidRPr="00EC5786">
        <w:rPr>
          <w:rFonts w:ascii="Calibri" w:eastAsia="Calibri" w:hAnsi="Calibri" w:cs="Calibri"/>
          <w:bCs/>
          <w:lang w:val="en-GB"/>
        </w:rPr>
        <w:t xml:space="preserve"> </w:t>
      </w:r>
      <w:r w:rsidR="003C3807">
        <w:rPr>
          <w:rFonts w:ascii="Calibri" w:eastAsia="Calibri" w:hAnsi="Calibri" w:cs="Calibri"/>
          <w:bCs/>
          <w:lang w:val="en-GB"/>
        </w:rPr>
        <w:t>it dropped by</w:t>
      </w:r>
      <w:r w:rsidR="00CF1159" w:rsidRPr="00EC5786">
        <w:rPr>
          <w:rFonts w:ascii="Calibri" w:eastAsia="Calibri" w:hAnsi="Calibri" w:cs="Calibri"/>
          <w:bCs/>
          <w:lang w:val="en-GB"/>
        </w:rPr>
        <w:t xml:space="preserve"> </w:t>
      </w:r>
      <w:r w:rsidR="004806A5" w:rsidRPr="00EC5786">
        <w:rPr>
          <w:rFonts w:ascii="Calibri" w:eastAsia="Calibri" w:hAnsi="Calibri" w:cs="Calibri"/>
          <w:bCs/>
          <w:lang w:val="en-GB"/>
        </w:rPr>
        <w:t>-</w:t>
      </w:r>
      <w:r w:rsidR="003C3807">
        <w:rPr>
          <w:rFonts w:ascii="Calibri" w:eastAsia="Calibri" w:hAnsi="Calibri" w:cs="Calibri"/>
          <w:bCs/>
          <w:lang w:val="en-GB"/>
        </w:rPr>
        <w:t>1.</w:t>
      </w:r>
      <w:r w:rsidR="001F3DC2">
        <w:rPr>
          <w:rFonts w:ascii="Calibri" w:eastAsia="Calibri" w:hAnsi="Calibri" w:cs="Calibri"/>
          <w:bCs/>
          <w:lang w:val="en-GB"/>
        </w:rPr>
        <w:t>9</w:t>
      </w:r>
      <w:r w:rsidR="00CF1159" w:rsidRPr="00EC5786">
        <w:rPr>
          <w:rFonts w:ascii="Calibri" w:eastAsia="Calibri" w:hAnsi="Calibri" w:cs="Calibri"/>
          <w:bCs/>
          <w:lang w:val="en-GB"/>
        </w:rPr>
        <w:t>%</w:t>
      </w:r>
      <w:r w:rsidR="003C3807">
        <w:rPr>
          <w:rFonts w:ascii="Calibri" w:eastAsia="Calibri" w:hAnsi="Calibri" w:cs="Calibri"/>
          <w:bCs/>
          <w:lang w:val="en-GB"/>
        </w:rPr>
        <w:t xml:space="preserve"> in Poland</w:t>
      </w:r>
      <w:r w:rsidR="00CF1159" w:rsidRPr="00EC5786">
        <w:rPr>
          <w:rFonts w:ascii="Calibri" w:eastAsia="Calibri" w:hAnsi="Calibri" w:cs="Calibri"/>
          <w:bCs/>
          <w:lang w:val="en-GB"/>
        </w:rPr>
        <w:t xml:space="preserve">, </w:t>
      </w:r>
      <w:r w:rsidR="003C3807">
        <w:rPr>
          <w:rFonts w:ascii="Calibri" w:eastAsia="Calibri" w:hAnsi="Calibri" w:cs="Calibri"/>
          <w:bCs/>
          <w:lang w:val="en-GB"/>
        </w:rPr>
        <w:t xml:space="preserve">which was mostly </w:t>
      </w:r>
      <w:r w:rsidR="003C3807">
        <w:rPr>
          <w:rFonts w:ascii="Calibri" w:eastAsia="Calibri" w:hAnsi="Calibri" w:cs="Calibri"/>
          <w:bCs/>
          <w:lang w:val="en-GB"/>
        </w:rPr>
        <w:lastRenderedPageBreak/>
        <w:t xml:space="preserve">influenced by the fashion sector </w:t>
      </w:r>
      <w:r w:rsidR="00CF1159" w:rsidRPr="00EC5786">
        <w:rPr>
          <w:rFonts w:ascii="Calibri" w:eastAsia="Calibri" w:hAnsi="Calibri" w:cs="Calibri"/>
          <w:bCs/>
          <w:lang w:val="en-GB"/>
        </w:rPr>
        <w:t>(-</w:t>
      </w:r>
      <w:r w:rsidR="00720CB4" w:rsidRPr="00EC5786">
        <w:rPr>
          <w:rFonts w:ascii="Calibri" w:eastAsia="Calibri" w:hAnsi="Calibri" w:cs="Calibri"/>
          <w:bCs/>
          <w:lang w:val="en-GB"/>
        </w:rPr>
        <w:t>3</w:t>
      </w:r>
      <w:r w:rsidR="003C3807">
        <w:rPr>
          <w:rFonts w:ascii="Calibri" w:eastAsia="Calibri" w:hAnsi="Calibri" w:cs="Calibri"/>
          <w:bCs/>
          <w:lang w:val="en-GB"/>
        </w:rPr>
        <w:t>.</w:t>
      </w:r>
      <w:r w:rsidR="001F3DC2">
        <w:rPr>
          <w:rFonts w:ascii="Calibri" w:eastAsia="Calibri" w:hAnsi="Calibri" w:cs="Calibri"/>
          <w:bCs/>
          <w:lang w:val="en-GB"/>
        </w:rPr>
        <w:t>8</w:t>
      </w:r>
      <w:r w:rsidR="00CF1159" w:rsidRPr="00EC5786">
        <w:rPr>
          <w:rFonts w:ascii="Calibri" w:eastAsia="Calibri" w:hAnsi="Calibri" w:cs="Calibri"/>
          <w:bCs/>
          <w:lang w:val="en-GB"/>
        </w:rPr>
        <w:t xml:space="preserve">%), </w:t>
      </w:r>
      <w:r w:rsidR="001F3DC2">
        <w:rPr>
          <w:rFonts w:ascii="Calibri" w:eastAsia="Calibri" w:hAnsi="Calibri" w:cs="Calibri"/>
          <w:bCs/>
          <w:lang w:val="en-GB"/>
        </w:rPr>
        <w:t>and even by -5.5</w:t>
      </w:r>
      <w:r w:rsidR="00CF1159" w:rsidRPr="00EC5786">
        <w:rPr>
          <w:rFonts w:ascii="Calibri" w:eastAsia="Calibri" w:hAnsi="Calibri" w:cs="Calibri"/>
          <w:bCs/>
          <w:lang w:val="en-GB"/>
        </w:rPr>
        <w:t>%</w:t>
      </w:r>
      <w:r w:rsidR="001F3DC2">
        <w:rPr>
          <w:rFonts w:ascii="Calibri" w:eastAsia="Calibri" w:hAnsi="Calibri" w:cs="Calibri"/>
          <w:bCs/>
          <w:lang w:val="en-GB"/>
        </w:rPr>
        <w:t xml:space="preserve"> in Slovakia</w:t>
      </w:r>
      <w:r w:rsidR="00CF1159" w:rsidRPr="00EC5786">
        <w:rPr>
          <w:rFonts w:ascii="Calibri" w:eastAsia="Calibri" w:hAnsi="Calibri" w:cs="Calibri"/>
          <w:bCs/>
          <w:lang w:val="en-GB"/>
        </w:rPr>
        <w:t xml:space="preserve">. </w:t>
      </w:r>
      <w:r w:rsidR="00B63E09">
        <w:rPr>
          <w:rFonts w:ascii="Calibri" w:eastAsia="Calibri" w:hAnsi="Calibri" w:cs="Calibri"/>
          <w:bCs/>
          <w:lang w:val="en-GB"/>
        </w:rPr>
        <w:t xml:space="preserve">In the Czech Republic and Slovakia, </w:t>
      </w:r>
      <w:r w:rsidR="00F003E3">
        <w:rPr>
          <w:rFonts w:ascii="Calibri" w:eastAsia="Calibri" w:hAnsi="Calibri" w:cs="Calibri"/>
          <w:bCs/>
          <w:lang w:val="en-GB"/>
        </w:rPr>
        <w:t>there was a significant influence from large anchor tenants</w:t>
      </w:r>
      <w:r w:rsidR="00134891" w:rsidRPr="00EC5786">
        <w:rPr>
          <w:rFonts w:ascii="Calibri" w:eastAsia="Calibri" w:hAnsi="Calibri" w:cs="Calibri"/>
          <w:bCs/>
          <w:lang w:val="en-GB"/>
        </w:rPr>
        <w:t xml:space="preserve"> </w:t>
      </w:r>
      <w:r w:rsidR="00F003E3">
        <w:rPr>
          <w:rFonts w:ascii="Calibri" w:eastAsia="Calibri" w:hAnsi="Calibri" w:cs="Calibri"/>
          <w:bCs/>
          <w:lang w:val="en-GB"/>
        </w:rPr>
        <w:t>(over</w:t>
      </w:r>
      <w:r w:rsidR="00056EF6" w:rsidRPr="00EC5786">
        <w:rPr>
          <w:rFonts w:ascii="Calibri" w:eastAsia="Calibri" w:hAnsi="Calibri" w:cs="Calibri"/>
          <w:bCs/>
          <w:lang w:val="en-GB"/>
        </w:rPr>
        <w:t xml:space="preserve"> </w:t>
      </w:r>
      <w:r w:rsidR="00AC1788" w:rsidRPr="00EC5786">
        <w:rPr>
          <w:rFonts w:ascii="Calibri" w:eastAsia="Calibri" w:hAnsi="Calibri" w:cs="Calibri"/>
          <w:bCs/>
          <w:lang w:val="en-GB"/>
        </w:rPr>
        <w:t>1</w:t>
      </w:r>
      <w:r w:rsidR="00AC1788">
        <w:rPr>
          <w:rFonts w:ascii="Calibri" w:eastAsia="Calibri" w:hAnsi="Calibri" w:cs="Calibri"/>
          <w:bCs/>
          <w:lang w:val="en-GB"/>
        </w:rPr>
        <w:t>,</w:t>
      </w:r>
      <w:r w:rsidR="00BC341B" w:rsidRPr="00EC5786">
        <w:rPr>
          <w:rFonts w:ascii="Calibri" w:eastAsia="Calibri" w:hAnsi="Calibri" w:cs="Calibri"/>
          <w:bCs/>
          <w:lang w:val="en-GB"/>
        </w:rPr>
        <w:t>000</w:t>
      </w:r>
      <w:r w:rsidR="001D147F">
        <w:rPr>
          <w:rFonts w:ascii="Calibri" w:eastAsia="Calibri" w:hAnsi="Calibri" w:cs="Calibri"/>
          <w:bCs/>
          <w:lang w:val="en-GB"/>
        </w:rPr>
        <w:t xml:space="preserve"> </w:t>
      </w:r>
      <w:proofErr w:type="spellStart"/>
      <w:r w:rsidR="001D147F">
        <w:rPr>
          <w:rFonts w:ascii="Calibri" w:eastAsia="Calibri" w:hAnsi="Calibri" w:cs="Calibri"/>
          <w:bCs/>
          <w:lang w:val="en-GB"/>
        </w:rPr>
        <w:t>sqm</w:t>
      </w:r>
      <w:proofErr w:type="spellEnd"/>
      <w:r w:rsidR="00056EF6" w:rsidRPr="00EC5786">
        <w:rPr>
          <w:rFonts w:ascii="Calibri" w:eastAsia="Calibri" w:hAnsi="Calibri" w:cs="Calibri"/>
          <w:bCs/>
          <w:lang w:val="en-GB"/>
        </w:rPr>
        <w:t>)</w:t>
      </w:r>
      <w:r w:rsidR="00134891" w:rsidRPr="00EC5786">
        <w:rPr>
          <w:rFonts w:ascii="Calibri" w:eastAsia="Calibri" w:hAnsi="Calibri" w:cs="Calibri"/>
          <w:bCs/>
          <w:lang w:val="en-GB"/>
        </w:rPr>
        <w:t xml:space="preserve">, </w:t>
      </w:r>
      <w:r w:rsidR="006E09E5">
        <w:rPr>
          <w:rFonts w:ascii="Calibri" w:eastAsia="Calibri" w:hAnsi="Calibri" w:cs="Calibri"/>
          <w:bCs/>
          <w:lang w:val="en-GB"/>
        </w:rPr>
        <w:t xml:space="preserve">where the Czech Republic recorded a </w:t>
      </w:r>
      <w:r w:rsidR="006E09E5" w:rsidRPr="00CD6B40">
        <w:rPr>
          <w:rFonts w:ascii="Calibri" w:eastAsia="Calibri" w:hAnsi="Calibri" w:cs="Calibri"/>
          <w:bCs/>
          <w:lang w:val="en-GB"/>
        </w:rPr>
        <w:t xml:space="preserve">year-on-year decrease of </w:t>
      </w:r>
      <w:r w:rsidR="00626E5A" w:rsidRPr="00CD6B40">
        <w:rPr>
          <w:rFonts w:ascii="Calibri" w:eastAsia="Calibri" w:hAnsi="Calibri" w:cs="Calibri"/>
          <w:bCs/>
          <w:lang w:val="en-GB"/>
        </w:rPr>
        <w:t>-6</w:t>
      </w:r>
      <w:r w:rsidR="006E09E5" w:rsidRPr="00CD6B40">
        <w:rPr>
          <w:rFonts w:ascii="Calibri" w:eastAsia="Calibri" w:hAnsi="Calibri" w:cs="Calibri"/>
          <w:bCs/>
          <w:lang w:val="en-GB"/>
        </w:rPr>
        <w:t>.2</w:t>
      </w:r>
      <w:r w:rsidR="00626E5A" w:rsidRPr="00CD6B40">
        <w:rPr>
          <w:rFonts w:ascii="Calibri" w:eastAsia="Calibri" w:hAnsi="Calibri" w:cs="Calibri"/>
          <w:bCs/>
          <w:lang w:val="en-GB"/>
        </w:rPr>
        <w:t>% a</w:t>
      </w:r>
      <w:r w:rsidR="006E09E5" w:rsidRPr="00CD6B40">
        <w:rPr>
          <w:rFonts w:ascii="Calibri" w:eastAsia="Calibri" w:hAnsi="Calibri" w:cs="Calibri"/>
          <w:bCs/>
          <w:lang w:val="en-GB"/>
        </w:rPr>
        <w:t>nd Slovakia -5.1</w:t>
      </w:r>
      <w:r w:rsidR="007B0C2E" w:rsidRPr="00CD6B40">
        <w:rPr>
          <w:rFonts w:ascii="Calibri" w:eastAsia="Calibri" w:hAnsi="Calibri" w:cs="Calibri"/>
          <w:bCs/>
          <w:lang w:val="en-GB"/>
        </w:rPr>
        <w:t>%</w:t>
      </w:r>
      <w:r w:rsidR="00D43291" w:rsidRPr="00CD6B40">
        <w:rPr>
          <w:rFonts w:ascii="Calibri" w:eastAsia="Calibri" w:hAnsi="Calibri" w:cs="Calibri"/>
          <w:bCs/>
          <w:lang w:val="en-GB"/>
        </w:rPr>
        <w:t>.</w:t>
      </w:r>
    </w:p>
    <w:p w14:paraId="3A49740A" w14:textId="77777777" w:rsidR="00134891" w:rsidRPr="00CD6B40" w:rsidRDefault="00134891" w:rsidP="00D43291">
      <w:pPr>
        <w:jc w:val="both"/>
        <w:rPr>
          <w:rFonts w:ascii="Calibri" w:eastAsia="Calibri" w:hAnsi="Calibri" w:cs="Calibri"/>
          <w:b/>
          <w:bCs/>
          <w:lang w:val="en-GB"/>
        </w:rPr>
      </w:pPr>
    </w:p>
    <w:p w14:paraId="0EB3C63F" w14:textId="1292B900" w:rsidR="00134891" w:rsidRPr="00CD6B40" w:rsidRDefault="001137AA" w:rsidP="00D43291">
      <w:pPr>
        <w:jc w:val="both"/>
        <w:rPr>
          <w:rFonts w:ascii="Calibri" w:eastAsia="Calibri" w:hAnsi="Calibri" w:cs="Calibri"/>
          <w:b/>
          <w:bCs/>
          <w:lang w:val="en-GB"/>
        </w:rPr>
      </w:pPr>
      <w:r>
        <w:rPr>
          <w:rFonts w:ascii="Calibri" w:eastAsia="Calibri" w:hAnsi="Calibri" w:cs="Calibri"/>
          <w:b/>
          <w:bCs/>
          <w:lang w:val="en-GB"/>
        </w:rPr>
        <w:t>The vacancy rate is</w:t>
      </w:r>
      <w:r w:rsidR="00537DC4">
        <w:rPr>
          <w:rFonts w:ascii="Calibri" w:eastAsia="Calibri" w:hAnsi="Calibri" w:cs="Calibri"/>
          <w:b/>
          <w:bCs/>
          <w:lang w:val="en-GB"/>
        </w:rPr>
        <w:t xml:space="preserve"> healthy</w:t>
      </w:r>
      <w:r>
        <w:rPr>
          <w:rFonts w:ascii="Calibri" w:eastAsia="Calibri" w:hAnsi="Calibri" w:cs="Calibri"/>
          <w:b/>
          <w:bCs/>
          <w:lang w:val="en-GB"/>
        </w:rPr>
        <w:t xml:space="preserve"> and the “rent-to-sales ratio”</w:t>
      </w:r>
      <w:r w:rsidR="00134891" w:rsidRPr="00CD6B40">
        <w:rPr>
          <w:rFonts w:ascii="Calibri" w:eastAsia="Calibri" w:hAnsi="Calibri" w:cs="Calibri"/>
          <w:b/>
          <w:bCs/>
          <w:lang w:val="en-GB"/>
        </w:rPr>
        <w:t xml:space="preserve"> </w:t>
      </w:r>
      <w:r>
        <w:rPr>
          <w:rFonts w:ascii="Calibri" w:eastAsia="Calibri" w:hAnsi="Calibri" w:cs="Calibri"/>
          <w:b/>
          <w:bCs/>
          <w:lang w:val="en-GB"/>
        </w:rPr>
        <w:t>is below the double-digit level</w:t>
      </w:r>
      <w:r w:rsidR="00134891" w:rsidRPr="00CD6B40">
        <w:rPr>
          <w:rFonts w:ascii="Calibri" w:eastAsia="Calibri" w:hAnsi="Calibri" w:cs="Calibri"/>
          <w:b/>
          <w:bCs/>
          <w:lang w:val="en-GB"/>
        </w:rPr>
        <w:t xml:space="preserve"> </w:t>
      </w:r>
    </w:p>
    <w:p w14:paraId="11CBBBCB" w14:textId="1018B9DC" w:rsidR="00D43291" w:rsidRDefault="004A05E7" w:rsidP="00D43291">
      <w:pPr>
        <w:jc w:val="both"/>
        <w:rPr>
          <w:rFonts w:ascii="Calibri" w:eastAsia="Calibri" w:hAnsi="Calibri" w:cs="Calibri"/>
          <w:b/>
          <w:bCs/>
          <w:lang w:val="en-GB"/>
        </w:rPr>
      </w:pPr>
      <w:r>
        <w:rPr>
          <w:rFonts w:ascii="Calibri" w:eastAsia="Calibri" w:hAnsi="Calibri" w:cs="Calibri"/>
          <w:bCs/>
          <w:i/>
          <w:lang w:val="en-GB"/>
        </w:rPr>
        <w:t xml:space="preserve">“In all monitored countries, </w:t>
      </w:r>
      <w:r w:rsidR="00E821D6">
        <w:rPr>
          <w:rFonts w:ascii="Calibri" w:eastAsia="Calibri" w:hAnsi="Calibri" w:cs="Calibri"/>
          <w:bCs/>
          <w:i/>
          <w:lang w:val="en-GB"/>
        </w:rPr>
        <w:t>the vacancy rate reaches a sound level of 4 – 5</w:t>
      </w:r>
      <w:r w:rsidR="00E821D6" w:rsidRPr="00CD6B40">
        <w:rPr>
          <w:rFonts w:ascii="Calibri" w:eastAsia="Calibri" w:hAnsi="Calibri" w:cs="Calibri"/>
          <w:bCs/>
          <w:i/>
          <w:lang w:val="en-GB"/>
        </w:rPr>
        <w:t>%.</w:t>
      </w:r>
      <w:r w:rsidR="006A32FC">
        <w:rPr>
          <w:rFonts w:ascii="Calibri" w:eastAsia="Calibri" w:hAnsi="Calibri" w:cs="Calibri"/>
          <w:bCs/>
          <w:i/>
          <w:lang w:val="en-GB"/>
        </w:rPr>
        <w:t xml:space="preserve"> Thanks to the growth</w:t>
      </w:r>
      <w:r w:rsidR="00253BD5">
        <w:rPr>
          <w:rFonts w:ascii="Calibri" w:eastAsia="Calibri" w:hAnsi="Calibri" w:cs="Calibri"/>
          <w:bCs/>
          <w:i/>
          <w:lang w:val="en-GB"/>
        </w:rPr>
        <w:t xml:space="preserve"> of turnover</w:t>
      </w:r>
      <w:r w:rsidR="00AC1788">
        <w:rPr>
          <w:rFonts w:ascii="Calibri" w:eastAsia="Calibri" w:hAnsi="Calibri" w:cs="Calibri"/>
          <w:bCs/>
          <w:i/>
          <w:lang w:val="en-GB"/>
        </w:rPr>
        <w:t>s</w:t>
      </w:r>
      <w:r w:rsidR="00050CE6">
        <w:rPr>
          <w:rFonts w:ascii="Calibri" w:eastAsia="Calibri" w:hAnsi="Calibri" w:cs="Calibri"/>
          <w:bCs/>
          <w:i/>
          <w:lang w:val="en-GB"/>
        </w:rPr>
        <w:t>, we recorded a year-on-year decline of the “</w:t>
      </w:r>
      <w:r w:rsidR="00D43291" w:rsidRPr="00CD6B40">
        <w:rPr>
          <w:rFonts w:ascii="Calibri" w:eastAsia="Calibri" w:hAnsi="Calibri" w:cs="Calibri"/>
          <w:bCs/>
          <w:i/>
          <w:lang w:val="en-GB"/>
        </w:rPr>
        <w:t>rent-to-sales ratio</w:t>
      </w:r>
      <w:proofErr w:type="gramStart"/>
      <w:r w:rsidR="00891BE5">
        <w:rPr>
          <w:rFonts w:ascii="Calibri" w:eastAsia="Calibri" w:hAnsi="Calibri" w:cs="Calibri"/>
          <w:bCs/>
          <w:i/>
          <w:lang w:val="en-GB"/>
        </w:rPr>
        <w:t>,</w:t>
      </w:r>
      <w:r w:rsidR="00D43291" w:rsidRPr="00CD6B40">
        <w:rPr>
          <w:rFonts w:ascii="Calibri" w:eastAsia="Calibri" w:hAnsi="Calibri" w:cs="Calibri"/>
          <w:bCs/>
          <w:i/>
          <w:lang w:val="en-GB"/>
        </w:rPr>
        <w:t>“</w:t>
      </w:r>
      <w:proofErr w:type="gramEnd"/>
      <w:r w:rsidR="00D43291" w:rsidRPr="00CD6B40">
        <w:rPr>
          <w:rFonts w:ascii="Calibri" w:eastAsia="Calibri" w:hAnsi="Calibri" w:cs="Calibri"/>
          <w:bCs/>
          <w:i/>
          <w:lang w:val="en-GB"/>
        </w:rPr>
        <w:t xml:space="preserve"> </w:t>
      </w:r>
      <w:r w:rsidR="00050CE6">
        <w:rPr>
          <w:rFonts w:ascii="Calibri" w:eastAsia="Calibri" w:hAnsi="Calibri" w:cs="Calibri"/>
          <w:bCs/>
          <w:i/>
          <w:lang w:val="en-GB"/>
        </w:rPr>
        <w:t>which was below the double-digit level in</w:t>
      </w:r>
      <w:r w:rsidR="00D43291" w:rsidRPr="00CD6B40">
        <w:rPr>
          <w:rFonts w:ascii="Calibri" w:eastAsia="Calibri" w:hAnsi="Calibri" w:cs="Calibri"/>
          <w:bCs/>
          <w:i/>
          <w:lang w:val="en-GB"/>
        </w:rPr>
        <w:t xml:space="preserve"> 2018. </w:t>
      </w:r>
      <w:r w:rsidR="00DB692C">
        <w:rPr>
          <w:rFonts w:ascii="Calibri" w:eastAsia="Calibri" w:hAnsi="Calibri" w:cs="Calibri"/>
          <w:bCs/>
          <w:i/>
          <w:lang w:val="en-GB"/>
        </w:rPr>
        <w:t>In the Czech Republic and Slovakia, it was at the level of 9%</w:t>
      </w:r>
      <w:r w:rsidR="00CE3538">
        <w:rPr>
          <w:rFonts w:ascii="Calibri" w:eastAsia="Calibri" w:hAnsi="Calibri" w:cs="Calibri"/>
          <w:bCs/>
          <w:i/>
          <w:lang w:val="en-GB"/>
        </w:rPr>
        <w:t xml:space="preserve"> and at the level of 7% due to lower rents in Poland,”</w:t>
      </w:r>
      <w:r w:rsidR="00D43291" w:rsidRPr="00CD6B40">
        <w:rPr>
          <w:rFonts w:ascii="Calibri" w:eastAsia="Calibri" w:hAnsi="Calibri" w:cs="Calibri"/>
          <w:bCs/>
          <w:lang w:val="en-GB"/>
        </w:rPr>
        <w:t xml:space="preserve"> </w:t>
      </w:r>
      <w:r w:rsidR="00220B3D">
        <w:rPr>
          <w:rFonts w:ascii="Calibri" w:eastAsia="Calibri" w:hAnsi="Calibri" w:cs="Calibri"/>
          <w:bCs/>
          <w:lang w:val="en-GB"/>
        </w:rPr>
        <w:t>concludes</w:t>
      </w:r>
      <w:r w:rsidR="00D43291" w:rsidRPr="00CD6B40">
        <w:rPr>
          <w:rFonts w:ascii="Calibri" w:eastAsia="Calibri" w:hAnsi="Calibri" w:cs="Calibri"/>
          <w:bCs/>
          <w:lang w:val="en-GB"/>
        </w:rPr>
        <w:t xml:space="preserve"> </w:t>
      </w:r>
      <w:proofErr w:type="spellStart"/>
      <w:r w:rsidR="00D43291" w:rsidRPr="00CD6B40">
        <w:rPr>
          <w:rFonts w:ascii="Calibri" w:eastAsia="Calibri" w:hAnsi="Calibri" w:cs="Calibri"/>
          <w:b/>
          <w:bCs/>
          <w:lang w:val="en-GB"/>
        </w:rPr>
        <w:t>Katarína</w:t>
      </w:r>
      <w:proofErr w:type="spellEnd"/>
      <w:r w:rsidR="00D43291" w:rsidRPr="00CD6B40">
        <w:rPr>
          <w:rFonts w:ascii="Calibri" w:eastAsia="Calibri" w:hAnsi="Calibri" w:cs="Calibri"/>
          <w:b/>
          <w:bCs/>
          <w:lang w:val="en-GB"/>
        </w:rPr>
        <w:t xml:space="preserve"> </w:t>
      </w:r>
      <w:proofErr w:type="spellStart"/>
      <w:r w:rsidR="00D43291" w:rsidRPr="00CD6B40">
        <w:rPr>
          <w:rFonts w:ascii="Calibri" w:eastAsia="Calibri" w:hAnsi="Calibri" w:cs="Calibri"/>
          <w:b/>
          <w:bCs/>
          <w:lang w:val="en-GB"/>
        </w:rPr>
        <w:t>Brydone</w:t>
      </w:r>
      <w:proofErr w:type="spellEnd"/>
      <w:r w:rsidR="00D43291" w:rsidRPr="00CD6B40">
        <w:rPr>
          <w:rFonts w:ascii="Calibri" w:eastAsia="Calibri" w:hAnsi="Calibri" w:cs="Calibri"/>
          <w:b/>
          <w:bCs/>
          <w:lang w:val="en-GB"/>
        </w:rPr>
        <w:t xml:space="preserve">, Head of Retail </w:t>
      </w:r>
      <w:r w:rsidR="00422A5B">
        <w:rPr>
          <w:rFonts w:ascii="Calibri" w:eastAsia="Calibri" w:hAnsi="Calibri" w:cs="Calibri"/>
          <w:b/>
          <w:bCs/>
          <w:lang w:val="en-GB"/>
        </w:rPr>
        <w:t>at</w:t>
      </w:r>
      <w:r w:rsidR="00220B3D">
        <w:rPr>
          <w:rFonts w:ascii="Calibri" w:eastAsia="Calibri" w:hAnsi="Calibri" w:cs="Calibri"/>
          <w:b/>
          <w:bCs/>
          <w:lang w:val="en-GB"/>
        </w:rPr>
        <w:t xml:space="preserve"> </w:t>
      </w:r>
      <w:r w:rsidR="00D43291" w:rsidRPr="00CD6B40">
        <w:rPr>
          <w:rFonts w:ascii="Calibri" w:eastAsia="Calibri" w:hAnsi="Calibri" w:cs="Calibri"/>
          <w:b/>
          <w:bCs/>
          <w:lang w:val="en-GB"/>
        </w:rPr>
        <w:t>CBRE.</w:t>
      </w:r>
    </w:p>
    <w:p w14:paraId="076939E2" w14:textId="77777777" w:rsidR="00B41DDC" w:rsidRPr="00CD6B40" w:rsidRDefault="00B41DDC" w:rsidP="00D43291">
      <w:pPr>
        <w:jc w:val="both"/>
        <w:rPr>
          <w:rFonts w:ascii="Calibri" w:eastAsia="Calibri" w:hAnsi="Calibri" w:cs="Calibri"/>
          <w:b/>
          <w:bCs/>
          <w:lang w:val="en-GB"/>
        </w:rPr>
      </w:pPr>
    </w:p>
    <w:p w14:paraId="4C0D0F69" w14:textId="77777777" w:rsidR="009D7F57" w:rsidRPr="009D7F57" w:rsidRDefault="009D7F57" w:rsidP="009D7F57">
      <w:pPr>
        <w:jc w:val="both"/>
        <w:rPr>
          <w:rFonts w:ascii="Calibri" w:eastAsia="Calibri" w:hAnsi="Calibri" w:cs="Calibri"/>
          <w:sz w:val="18"/>
          <w:szCs w:val="18"/>
          <w:u w:val="single"/>
          <w:lang w:val="en-GB"/>
        </w:rPr>
      </w:pPr>
      <w:r w:rsidRPr="009D7F57">
        <w:rPr>
          <w:rFonts w:ascii="Calibri" w:eastAsia="Calibri" w:hAnsi="Calibri" w:cs="Calibri"/>
          <w:sz w:val="18"/>
          <w:szCs w:val="18"/>
          <w:u w:val="single"/>
          <w:lang w:val="en-GB"/>
        </w:rPr>
        <w:t>About CEE Shopping Centre Index</w:t>
      </w:r>
    </w:p>
    <w:p w14:paraId="049EC4F3" w14:textId="3FCCA8C9" w:rsidR="00174BA2" w:rsidRPr="009D7F57" w:rsidRDefault="009D7F57" w:rsidP="009D7F57">
      <w:pPr>
        <w:jc w:val="both"/>
        <w:rPr>
          <w:rFonts w:ascii="Calibri" w:eastAsia="Calibri" w:hAnsi="Calibri" w:cs="Calibri"/>
          <w:sz w:val="18"/>
          <w:szCs w:val="18"/>
          <w:lang w:val="en-GB"/>
        </w:rPr>
      </w:pPr>
      <w:r w:rsidRPr="009D7F57">
        <w:rPr>
          <w:rFonts w:ascii="Calibri" w:eastAsia="Calibri" w:hAnsi="Calibri" w:cs="Calibri"/>
          <w:sz w:val="18"/>
          <w:szCs w:val="18"/>
          <w:lang w:val="en-GB"/>
        </w:rPr>
        <w:t xml:space="preserve">The CBRE CEE Shopping Centre Index is the only market indicator that monitors the performance of regional shopping centres in the CEE region. It analyses a sample of 180 shopping centres in all regions of the Czech Republic (except Prague), Slovakia (except Bratislava) and Poland (except Warsaw), representing nearly 4.5 million </w:t>
      </w:r>
      <w:proofErr w:type="spellStart"/>
      <w:r w:rsidRPr="009D7F57">
        <w:rPr>
          <w:rFonts w:ascii="Calibri" w:eastAsia="Calibri" w:hAnsi="Calibri" w:cs="Calibri"/>
          <w:sz w:val="18"/>
          <w:szCs w:val="18"/>
          <w:lang w:val="en-GB"/>
        </w:rPr>
        <w:t>sq</w:t>
      </w:r>
      <w:proofErr w:type="spellEnd"/>
      <w:r w:rsidRPr="009D7F57">
        <w:rPr>
          <w:rFonts w:ascii="Calibri" w:eastAsia="Calibri" w:hAnsi="Calibri" w:cs="Calibri"/>
          <w:sz w:val="18"/>
          <w:szCs w:val="18"/>
          <w:lang w:val="en-GB"/>
        </w:rPr>
        <w:t xml:space="preserve"> m of retail space and 1 over a billion customers. Market research was conducted in 2019, based on data from 2017 and 2018.</w:t>
      </w:r>
    </w:p>
    <w:p w14:paraId="29740176" w14:textId="77777777" w:rsidR="009D7F57" w:rsidRPr="00CD6B40" w:rsidRDefault="009D7F57" w:rsidP="009D7F57">
      <w:pPr>
        <w:jc w:val="both"/>
        <w:rPr>
          <w:rFonts w:ascii="Calibri" w:eastAsia="Calibri" w:hAnsi="Calibri" w:cs="Calibri"/>
          <w:sz w:val="18"/>
          <w:szCs w:val="18"/>
          <w:u w:val="single"/>
          <w:lang w:val="en-GB"/>
        </w:rPr>
      </w:pPr>
    </w:p>
    <w:p w14:paraId="75C54DC9" w14:textId="3045E63F" w:rsidR="00277346" w:rsidRPr="00CD6B40" w:rsidRDefault="00277346" w:rsidP="00277346">
      <w:pPr>
        <w:jc w:val="both"/>
        <w:rPr>
          <w:rFonts w:ascii="Calibri" w:eastAsia="Calibri" w:hAnsi="Calibri" w:cs="Calibri"/>
          <w:sz w:val="18"/>
          <w:szCs w:val="18"/>
          <w:u w:val="single"/>
          <w:lang w:val="en-GB"/>
        </w:rPr>
      </w:pPr>
      <w:r w:rsidRPr="00CD6B40">
        <w:rPr>
          <w:rFonts w:ascii="Calibri" w:eastAsia="Calibri" w:hAnsi="Calibri" w:cs="Calibri"/>
          <w:sz w:val="18"/>
          <w:szCs w:val="18"/>
          <w:u w:val="single"/>
          <w:lang w:val="en-GB"/>
        </w:rPr>
        <w:t>About CBRE Retail</w:t>
      </w:r>
    </w:p>
    <w:p w14:paraId="0F14A525" w14:textId="5949D6AB" w:rsidR="00277346" w:rsidRPr="00CD6B40" w:rsidRDefault="00277346" w:rsidP="00277346">
      <w:pPr>
        <w:jc w:val="both"/>
        <w:rPr>
          <w:rFonts w:ascii="Calibri" w:eastAsia="Calibri" w:hAnsi="Calibri" w:cs="Calibri"/>
          <w:sz w:val="18"/>
          <w:szCs w:val="18"/>
          <w:lang w:val="en-GB"/>
        </w:rPr>
      </w:pPr>
      <w:r w:rsidRPr="00CD6B40">
        <w:rPr>
          <w:rFonts w:ascii="Calibri" w:eastAsia="Calibri" w:hAnsi="Calibri" w:cs="Calibri"/>
          <w:sz w:val="18"/>
          <w:szCs w:val="18"/>
          <w:lang w:val="en-GB"/>
        </w:rPr>
        <w:t>CBRE is an expert and the biggest administrator of retail areas in the Czech Republic. It provides comprehensive and complex consulting in the field of purchase and sale of retail assets, rental of retail areas, representing of tenants when entering the Czech market or optimization of the stores network, administration and marketing of shopping centres and retail parks, concept design of shopping centres and project monitoring. Last but not least, it is the leader in retail market research and customer behaviour.</w:t>
      </w:r>
    </w:p>
    <w:p w14:paraId="1BD57935" w14:textId="16D89D3B" w:rsidR="00277346" w:rsidRPr="00CD6B40" w:rsidRDefault="00277346" w:rsidP="00277346">
      <w:pPr>
        <w:jc w:val="both"/>
        <w:rPr>
          <w:rFonts w:ascii="Calibri" w:eastAsia="Calibri" w:hAnsi="Calibri" w:cs="Calibri"/>
          <w:sz w:val="18"/>
          <w:szCs w:val="18"/>
          <w:lang w:val="en-GB"/>
        </w:rPr>
      </w:pPr>
    </w:p>
    <w:p w14:paraId="68CBCA47" w14:textId="53C06720" w:rsidR="00811A55" w:rsidRPr="00CD6B40" w:rsidRDefault="00943056">
      <w:pPr>
        <w:shd w:val="clear" w:color="auto" w:fill="FFFFFF"/>
        <w:spacing w:line="276" w:lineRule="auto"/>
        <w:jc w:val="both"/>
        <w:rPr>
          <w:rFonts w:ascii="Calibri" w:eastAsia="Calibri" w:hAnsi="Calibri" w:cs="Calibri"/>
          <w:b/>
          <w:bCs/>
          <w:lang w:val="en-GB"/>
        </w:rPr>
      </w:pPr>
      <w:r w:rsidRPr="00CD6B40">
        <w:rPr>
          <w:rFonts w:ascii="Calibri" w:eastAsia="Calibri" w:hAnsi="Calibri" w:cs="Calibri"/>
          <w:b/>
          <w:bCs/>
          <w:lang w:val="en-GB"/>
        </w:rPr>
        <w:t>Contact</w:t>
      </w:r>
      <w:r w:rsidR="00674910" w:rsidRPr="00CD6B40">
        <w:rPr>
          <w:rFonts w:ascii="Calibri" w:eastAsia="Calibri" w:hAnsi="Calibri" w:cs="Calibri"/>
          <w:b/>
          <w:bCs/>
          <w:lang w:val="en-GB"/>
        </w:rPr>
        <w:t>:</w:t>
      </w:r>
    </w:p>
    <w:p w14:paraId="6D1BECF8" w14:textId="59A306DE" w:rsidR="007510C6" w:rsidRPr="00CD6B40" w:rsidRDefault="007510C6" w:rsidP="00751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en-GB"/>
        </w:rPr>
      </w:pPr>
      <w:r w:rsidRPr="00CD6B40">
        <w:rPr>
          <w:rFonts w:ascii="Calibri" w:eastAsia="Times New Roman" w:hAnsi="Calibri" w:cs="Calibri"/>
          <w:b/>
          <w:bCs/>
          <w:color w:val="auto"/>
          <w:bdr w:val="none" w:sz="0" w:space="0" w:color="auto"/>
          <w:lang w:val="en-GB"/>
        </w:rPr>
        <w:t xml:space="preserve">Crest Communications, </w:t>
      </w:r>
      <w:proofErr w:type="spellStart"/>
      <w:r w:rsidRPr="00CD6B40">
        <w:rPr>
          <w:rFonts w:ascii="Calibri" w:eastAsia="Times New Roman" w:hAnsi="Calibri" w:cs="Calibri"/>
          <w:b/>
          <w:bCs/>
          <w:color w:val="auto"/>
          <w:bdr w:val="none" w:sz="0" w:space="0" w:color="auto"/>
          <w:lang w:val="en-GB"/>
        </w:rPr>
        <w:t>a.s</w:t>
      </w:r>
      <w:proofErr w:type="spellEnd"/>
      <w:proofErr w:type="gramStart"/>
      <w:r w:rsidRPr="00CD6B40">
        <w:rPr>
          <w:rFonts w:ascii="Calibri" w:eastAsia="Times New Roman" w:hAnsi="Calibri" w:cs="Calibri"/>
          <w:b/>
          <w:bCs/>
          <w:color w:val="auto"/>
          <w:bdr w:val="none" w:sz="0" w:space="0" w:color="auto"/>
          <w:lang w:val="en-GB"/>
        </w:rPr>
        <w:t>.</w:t>
      </w:r>
      <w:proofErr w:type="gramEnd"/>
      <w:r w:rsidRPr="00CD6B40">
        <w:rPr>
          <w:rFonts w:ascii="Calibri" w:eastAsia="Times New Roman" w:hAnsi="Calibri" w:cs="Calibri"/>
          <w:b/>
          <w:bCs/>
          <w:color w:val="auto"/>
          <w:bdr w:val="none" w:sz="0" w:space="0" w:color="auto"/>
          <w:lang w:val="en-GB"/>
        </w:rPr>
        <w:br/>
      </w:r>
      <w:proofErr w:type="spellStart"/>
      <w:r w:rsidRPr="00CD6B40">
        <w:rPr>
          <w:rFonts w:ascii="Calibri" w:eastAsia="Times New Roman" w:hAnsi="Calibri" w:cs="Calibri"/>
          <w:color w:val="auto"/>
          <w:bdr w:val="none" w:sz="0" w:space="0" w:color="auto"/>
          <w:lang w:val="en-GB"/>
        </w:rPr>
        <w:t>Denisa</w:t>
      </w:r>
      <w:proofErr w:type="spellEnd"/>
      <w:r w:rsidRPr="00CD6B40">
        <w:rPr>
          <w:rFonts w:ascii="Calibri" w:eastAsia="Times New Roman" w:hAnsi="Calibri" w:cs="Calibri"/>
          <w:color w:val="auto"/>
          <w:bdr w:val="none" w:sz="0" w:space="0" w:color="auto"/>
          <w:lang w:val="en-GB"/>
        </w:rPr>
        <w:t xml:space="preserve"> </w:t>
      </w:r>
      <w:proofErr w:type="spellStart"/>
      <w:r w:rsidRPr="00CD6B40">
        <w:rPr>
          <w:rFonts w:ascii="Calibri" w:eastAsia="Times New Roman" w:hAnsi="Calibri" w:cs="Calibri"/>
          <w:color w:val="auto"/>
          <w:bdr w:val="none" w:sz="0" w:space="0" w:color="auto"/>
          <w:lang w:val="en-GB"/>
        </w:rPr>
        <w:t>Kolaříková</w:t>
      </w:r>
      <w:proofErr w:type="spellEnd"/>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t xml:space="preserve">Kamila </w:t>
      </w:r>
      <w:proofErr w:type="spellStart"/>
      <w:r w:rsidRPr="00CD6B40">
        <w:rPr>
          <w:rFonts w:ascii="Calibri" w:eastAsia="Times New Roman" w:hAnsi="Calibri" w:cs="Calibri"/>
          <w:color w:val="auto"/>
          <w:bdr w:val="none" w:sz="0" w:space="0" w:color="auto"/>
          <w:lang w:val="en-GB"/>
        </w:rPr>
        <w:t>Čadková</w:t>
      </w:r>
      <w:proofErr w:type="spellEnd"/>
      <w:r w:rsidRPr="00CD6B40">
        <w:rPr>
          <w:rFonts w:ascii="Calibri" w:eastAsia="Times New Roman" w:hAnsi="Calibri" w:cs="Calibri"/>
          <w:color w:val="auto"/>
          <w:bdr w:val="none" w:sz="0" w:space="0" w:color="auto"/>
          <w:lang w:val="en-GB"/>
        </w:rPr>
        <w:br/>
        <w:t>Account Manager</w:t>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t>Account Director</w:t>
      </w:r>
      <w:r w:rsidRPr="00CD6B40">
        <w:rPr>
          <w:rFonts w:ascii="Calibri" w:eastAsia="Times New Roman" w:hAnsi="Calibri" w:cs="Calibri"/>
          <w:color w:val="auto"/>
          <w:bdr w:val="none" w:sz="0" w:space="0" w:color="auto"/>
          <w:lang w:val="en-GB"/>
        </w:rPr>
        <w:br/>
        <w:t>Gsm: +420 731 613 606</w:t>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r>
      <w:r w:rsidRPr="00CD6B40">
        <w:rPr>
          <w:rFonts w:ascii="Calibri" w:eastAsia="Times New Roman" w:hAnsi="Calibri" w:cs="Calibri"/>
          <w:color w:val="auto"/>
          <w:bdr w:val="none" w:sz="0" w:space="0" w:color="auto"/>
          <w:lang w:val="en-GB"/>
        </w:rPr>
        <w:tab/>
        <w:t>Gsm: +420 731 613 609</w:t>
      </w:r>
      <w:r w:rsidRPr="00CD6B40">
        <w:rPr>
          <w:rFonts w:ascii="Calibri" w:eastAsia="Times New Roman" w:hAnsi="Calibri" w:cs="Calibri"/>
          <w:color w:val="auto"/>
          <w:bdr w:val="none" w:sz="0" w:space="0" w:color="auto"/>
          <w:lang w:val="en-GB"/>
        </w:rPr>
        <w:br/>
        <w:t xml:space="preserve">email: </w:t>
      </w:r>
      <w:r w:rsidRPr="00CD6B40">
        <w:rPr>
          <w:rFonts w:ascii="Calibri" w:eastAsia="Times New Roman" w:hAnsi="Calibri" w:cs="Calibri"/>
          <w:color w:val="0000FF"/>
          <w:u w:val="single"/>
          <w:bdr w:val="none" w:sz="0" w:space="0" w:color="auto"/>
          <w:lang w:val="en-GB"/>
        </w:rPr>
        <w:t>denisa.kolarikova@crestcom.cz</w:t>
      </w:r>
      <w:r w:rsidRPr="00CD6B40">
        <w:rPr>
          <w:rFonts w:ascii="Calibri" w:eastAsia="Times New Roman" w:hAnsi="Calibri" w:cs="Calibri"/>
          <w:color w:val="0000FF"/>
          <w:bdr w:val="none" w:sz="0" w:space="0" w:color="auto"/>
          <w:lang w:val="en-GB"/>
        </w:rPr>
        <w:tab/>
      </w:r>
      <w:r w:rsidRPr="00CD6B40">
        <w:rPr>
          <w:rFonts w:ascii="Calibri" w:eastAsia="Times New Roman" w:hAnsi="Calibri" w:cs="Calibri"/>
          <w:color w:val="0000FF"/>
          <w:bdr w:val="none" w:sz="0" w:space="0" w:color="auto"/>
          <w:lang w:val="en-GB"/>
        </w:rPr>
        <w:tab/>
      </w:r>
      <w:r w:rsidRPr="00CD6B40">
        <w:rPr>
          <w:rFonts w:ascii="Calibri" w:eastAsia="Times New Roman" w:hAnsi="Calibri" w:cs="Calibri"/>
          <w:color w:val="auto"/>
          <w:bdr w:val="none" w:sz="0" w:space="0" w:color="auto"/>
          <w:lang w:val="en-GB"/>
        </w:rPr>
        <w:t xml:space="preserve">email: </w:t>
      </w:r>
      <w:hyperlink r:id="rId14" w:history="1">
        <w:r w:rsidRPr="00CD6B40">
          <w:rPr>
            <w:rFonts w:ascii="Calibri" w:eastAsia="Times New Roman" w:hAnsi="Calibri" w:cs="Calibri"/>
            <w:color w:val="0000FF"/>
            <w:u w:val="single"/>
            <w:bdr w:val="none" w:sz="0" w:space="0" w:color="auto"/>
            <w:lang w:val="en-GB"/>
          </w:rPr>
          <w:t>kamila.cadkova@crestcom.cz</w:t>
        </w:r>
      </w:hyperlink>
      <w:r w:rsidRPr="00CD6B40">
        <w:rPr>
          <w:rFonts w:ascii="Calibri" w:eastAsia="Times New Roman" w:hAnsi="Calibri" w:cs="Calibri"/>
          <w:color w:val="0000FF"/>
          <w:u w:val="single"/>
          <w:bdr w:val="none" w:sz="0" w:space="0" w:color="auto"/>
          <w:lang w:val="en-GB"/>
        </w:rPr>
        <w:br/>
      </w:r>
      <w:hyperlink r:id="rId15" w:history="1">
        <w:r w:rsidRPr="00CD6B40">
          <w:rPr>
            <w:rFonts w:ascii="Calibri" w:eastAsia="Times New Roman" w:hAnsi="Calibri" w:cs="Calibri"/>
            <w:color w:val="0000FF"/>
            <w:u w:val="single"/>
            <w:bdr w:val="none" w:sz="0" w:space="0" w:color="auto"/>
            <w:lang w:val="en-GB"/>
          </w:rPr>
          <w:t>www.crestcom.cz</w:t>
        </w:r>
      </w:hyperlink>
    </w:p>
    <w:p w14:paraId="635EC480" w14:textId="77777777" w:rsidR="007510C6" w:rsidRPr="00B41DDC" w:rsidRDefault="007510C6">
      <w:pPr>
        <w:spacing w:line="276" w:lineRule="auto"/>
        <w:jc w:val="both"/>
        <w:rPr>
          <w:rFonts w:ascii="Calibri" w:eastAsia="Calibri" w:hAnsi="Calibri" w:cs="Calibri"/>
          <w:b/>
          <w:lang w:val="it-IT"/>
        </w:rPr>
      </w:pPr>
      <w:r w:rsidRPr="00B41DDC">
        <w:rPr>
          <w:rFonts w:ascii="Calibri" w:eastAsia="Calibri" w:hAnsi="Calibri" w:cs="Calibri"/>
          <w:b/>
          <w:lang w:val="it-IT"/>
        </w:rPr>
        <w:t>CBRE</w:t>
      </w:r>
    </w:p>
    <w:p w14:paraId="45A55D9B" w14:textId="77777777" w:rsidR="00811A55" w:rsidRPr="00B41DDC" w:rsidRDefault="00674910">
      <w:pPr>
        <w:spacing w:line="276" w:lineRule="auto"/>
        <w:jc w:val="both"/>
        <w:rPr>
          <w:rFonts w:ascii="Calibri" w:eastAsia="Calibri" w:hAnsi="Calibri" w:cs="Calibri"/>
          <w:lang w:val="it-IT"/>
        </w:rPr>
      </w:pPr>
      <w:r w:rsidRPr="00B41DDC">
        <w:rPr>
          <w:rFonts w:ascii="Calibri" w:eastAsia="Calibri" w:hAnsi="Calibri" w:cs="Calibri"/>
          <w:lang w:val="it-IT"/>
        </w:rPr>
        <w:t xml:space="preserve">Ivona Novotná, Communication Supervisor, +420 731 889 963, </w:t>
      </w:r>
      <w:r w:rsidR="00230C0E">
        <w:rPr>
          <w:rStyle w:val="Hyperlink0"/>
          <w:lang w:val="it-IT"/>
        </w:rPr>
        <w:fldChar w:fldCharType="begin"/>
      </w:r>
      <w:r w:rsidR="00230C0E">
        <w:rPr>
          <w:rStyle w:val="Hyperlink0"/>
          <w:lang w:val="it-IT"/>
        </w:rPr>
        <w:instrText xml:space="preserve"> HYPERLINK "mailto:ivona.novotna@cbre.com" </w:instrText>
      </w:r>
      <w:r w:rsidR="00230C0E">
        <w:rPr>
          <w:rStyle w:val="Hyperlink0"/>
          <w:lang w:val="it-IT"/>
        </w:rPr>
        <w:fldChar w:fldCharType="separate"/>
      </w:r>
      <w:r w:rsidRPr="00B41DDC">
        <w:rPr>
          <w:rStyle w:val="Hyperlink0"/>
          <w:lang w:val="it-IT"/>
        </w:rPr>
        <w:t>ivona.novotna@cbre.com</w:t>
      </w:r>
      <w:r w:rsidR="00230C0E">
        <w:rPr>
          <w:rStyle w:val="Hyperlink0"/>
          <w:lang w:val="it-IT"/>
        </w:rPr>
        <w:fldChar w:fldCharType="end"/>
      </w:r>
    </w:p>
    <w:p w14:paraId="7404EDDB" w14:textId="19A5A129" w:rsidR="00811A55" w:rsidRDefault="00674910">
      <w:pPr>
        <w:pStyle w:val="Tmavseznamzvraznn51"/>
        <w:spacing w:line="276" w:lineRule="auto"/>
        <w:ind w:left="0"/>
        <w:rPr>
          <w:rStyle w:val="Hyperlink1"/>
          <w:lang w:val="en-GB"/>
        </w:rPr>
      </w:pPr>
      <w:r w:rsidRPr="00CD6B40">
        <w:rPr>
          <w:sz w:val="24"/>
          <w:szCs w:val="24"/>
          <w:lang w:val="en-GB"/>
        </w:rPr>
        <w:t>CBRE Czech Republic</w:t>
      </w:r>
      <w:r w:rsidRPr="00CD6B40">
        <w:rPr>
          <w:color w:val="1F497D"/>
          <w:sz w:val="24"/>
          <w:szCs w:val="24"/>
          <w:u w:color="1F497D"/>
          <w:lang w:val="en-GB"/>
        </w:rPr>
        <w:t xml:space="preserve"> </w:t>
      </w:r>
      <w:hyperlink r:id="rId16" w:history="1">
        <w:r w:rsidRPr="00CD6B40">
          <w:rPr>
            <w:rStyle w:val="Hyperlink1"/>
            <w:lang w:val="en-GB"/>
          </w:rPr>
          <w:t>Facebook</w:t>
        </w:r>
      </w:hyperlink>
      <w:r w:rsidRPr="00CD6B40">
        <w:rPr>
          <w:rStyle w:val="Hyperlink1"/>
          <w:lang w:val="en-GB"/>
        </w:rPr>
        <w:t xml:space="preserve">, </w:t>
      </w:r>
      <w:hyperlink r:id="rId17" w:history="1">
        <w:proofErr w:type="spellStart"/>
        <w:r w:rsidRPr="00CD6B40">
          <w:rPr>
            <w:rStyle w:val="Hyperlink1"/>
            <w:lang w:val="en-GB"/>
          </w:rPr>
          <w:t>Linkedin</w:t>
        </w:r>
        <w:proofErr w:type="spellEnd"/>
      </w:hyperlink>
      <w:r w:rsidRPr="00CD6B40">
        <w:rPr>
          <w:sz w:val="24"/>
          <w:szCs w:val="24"/>
          <w:lang w:val="en-GB"/>
        </w:rPr>
        <w:t xml:space="preserve">, </w:t>
      </w:r>
      <w:hyperlink r:id="rId18" w:history="1">
        <w:r w:rsidRPr="00CD6B40">
          <w:rPr>
            <w:rStyle w:val="Hyperlink1"/>
            <w:lang w:val="en-GB"/>
          </w:rPr>
          <w:t>Instagram</w:t>
        </w:r>
      </w:hyperlink>
    </w:p>
    <w:p w14:paraId="022461D0" w14:textId="482C464C" w:rsidR="00891BE5" w:rsidRPr="00CD6B40" w:rsidRDefault="00891BE5">
      <w:pPr>
        <w:pStyle w:val="Tmavseznamzvraznn51"/>
        <w:spacing w:line="276" w:lineRule="auto"/>
        <w:ind w:left="0"/>
        <w:rPr>
          <w:rStyle w:val="Hyperlink1"/>
          <w:lang w:val="en-GB"/>
        </w:rPr>
      </w:pPr>
      <w:r w:rsidRPr="000C2FD4">
        <w:rPr>
          <w:lang w:val="en-GB"/>
        </w:rPr>
        <w:t>CBRE Art of Space Awards:</w:t>
      </w:r>
      <w:r w:rsidRPr="00891BE5">
        <w:rPr>
          <w:rStyle w:val="Hyperlink1"/>
          <w:lang w:val="en-GB"/>
        </w:rPr>
        <w:t xml:space="preserve"> Facebook, Instagram, LinkedIn</w:t>
      </w:r>
    </w:p>
    <w:p w14:paraId="7C25CFA2" w14:textId="77777777" w:rsidR="00811A55" w:rsidRPr="00CD6B40" w:rsidRDefault="00811A55">
      <w:pPr>
        <w:spacing w:line="276" w:lineRule="auto"/>
        <w:jc w:val="both"/>
        <w:rPr>
          <w:rFonts w:ascii="Calibri" w:eastAsia="Calibri" w:hAnsi="Calibri" w:cs="Calibri"/>
          <w:sz w:val="22"/>
          <w:szCs w:val="22"/>
          <w:lang w:val="en-GB"/>
        </w:rPr>
      </w:pPr>
    </w:p>
    <w:p w14:paraId="4ED1B897" w14:textId="77777777" w:rsidR="00640194" w:rsidRPr="00CD6B40" w:rsidRDefault="00640194" w:rsidP="00640194">
      <w:pPr>
        <w:spacing w:line="360" w:lineRule="auto"/>
        <w:jc w:val="both"/>
        <w:rPr>
          <w:rFonts w:ascii="Calibri" w:hAnsi="Calibri" w:cs="Calibri"/>
          <w:b/>
          <w:bCs/>
          <w:sz w:val="18"/>
          <w:szCs w:val="18"/>
          <w:u w:val="single"/>
          <w:lang w:val="en-GB"/>
        </w:rPr>
      </w:pPr>
      <w:r w:rsidRPr="00CD6B40">
        <w:rPr>
          <w:rFonts w:ascii="Calibri" w:hAnsi="Calibri" w:cs="Calibri"/>
          <w:b/>
          <w:bCs/>
          <w:sz w:val="18"/>
          <w:szCs w:val="18"/>
          <w:u w:val="single"/>
          <w:lang w:val="en-GB"/>
        </w:rPr>
        <w:t>About CBRE</w:t>
      </w:r>
    </w:p>
    <w:p w14:paraId="5EA3649A" w14:textId="3855878B" w:rsidR="00640194" w:rsidRPr="00CD6B40" w:rsidRDefault="00640194" w:rsidP="00640194">
      <w:pPr>
        <w:spacing w:line="360" w:lineRule="auto"/>
        <w:jc w:val="both"/>
        <w:rPr>
          <w:rFonts w:ascii="Calibri" w:hAnsi="Calibri" w:cs="Calibri"/>
          <w:sz w:val="18"/>
          <w:szCs w:val="18"/>
          <w:lang w:val="en-GB"/>
        </w:rPr>
      </w:pPr>
      <w:r w:rsidRPr="00CD6B40">
        <w:rPr>
          <w:rFonts w:ascii="Calibri" w:hAnsi="Calibri" w:cs="Calibri"/>
          <w:bCs/>
          <w:sz w:val="18"/>
          <w:szCs w:val="18"/>
          <w:lang w:val="en-GB"/>
        </w:rPr>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w:t>
      </w:r>
      <w:r w:rsidR="00CD6B40">
        <w:rPr>
          <w:rFonts w:ascii="Calibri" w:hAnsi="Calibri" w:cs="Calibri"/>
          <w:bCs/>
          <w:sz w:val="18"/>
          <w:szCs w:val="18"/>
          <w:lang w:val="en-GB"/>
        </w:rPr>
        <w:t>ises with a total area nearly 1.</w:t>
      </w:r>
      <w:r w:rsidRPr="00CD6B40">
        <w:rPr>
          <w:rFonts w:ascii="Calibri" w:hAnsi="Calibri" w:cs="Calibri"/>
          <w:bCs/>
          <w:sz w:val="18"/>
          <w:szCs w:val="18"/>
          <w:lang w:val="en-GB"/>
        </w:rPr>
        <w:t xml:space="preserve">4 mil. </w:t>
      </w:r>
      <w:proofErr w:type="gramStart"/>
      <w:r w:rsidRPr="00CD6B40">
        <w:rPr>
          <w:rFonts w:ascii="Calibri" w:hAnsi="Calibri" w:cs="Calibri"/>
          <w:bCs/>
          <w:sz w:val="18"/>
          <w:szCs w:val="18"/>
          <w:lang w:val="en-GB"/>
        </w:rPr>
        <w:t>sq</w:t>
      </w:r>
      <w:proofErr w:type="gramEnd"/>
      <w:r w:rsidRPr="00CD6B40">
        <w:rPr>
          <w:rFonts w:ascii="Calibri" w:hAnsi="Calibri" w:cs="Calibri"/>
          <w:bCs/>
          <w:sz w:val="18"/>
          <w:szCs w:val="18"/>
          <w:lang w:val="en-GB"/>
        </w:rPr>
        <w:t>. m. Read more at www.cbre.cz.</w:t>
      </w:r>
    </w:p>
    <w:p w14:paraId="54D9FA81" w14:textId="650D6B14" w:rsidR="00811A55" w:rsidRPr="00CD6B40" w:rsidRDefault="00811A55" w:rsidP="00640194">
      <w:pPr>
        <w:spacing w:line="276" w:lineRule="auto"/>
        <w:jc w:val="both"/>
        <w:rPr>
          <w:lang w:val="en-GB"/>
        </w:rPr>
      </w:pPr>
    </w:p>
    <w:sectPr w:rsidR="00811A55" w:rsidRPr="00CD6B40">
      <w:headerReference w:type="default" r:id="rId19"/>
      <w:headerReference w:type="first" r:id="rId20"/>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C417" w14:textId="77777777" w:rsidR="001009D8" w:rsidRDefault="001009D8">
      <w:r>
        <w:separator/>
      </w:r>
    </w:p>
  </w:endnote>
  <w:endnote w:type="continuationSeparator" w:id="0">
    <w:p w14:paraId="3AAB4B2E" w14:textId="77777777" w:rsidR="001009D8" w:rsidRDefault="0010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charset w:val="00"/>
    <w:family w:val="swiss"/>
    <w:pitch w:val="variable"/>
    <w:sig w:usb0="800000AF" w:usb1="1000204A" w:usb2="00000000" w:usb3="00000000" w:csb0="0000001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26824" w14:textId="77777777" w:rsidR="001009D8" w:rsidRDefault="001009D8">
      <w:r>
        <w:separator/>
      </w:r>
    </w:p>
  </w:footnote>
  <w:footnote w:type="continuationSeparator" w:id="0">
    <w:p w14:paraId="7569D9D0" w14:textId="77777777" w:rsidR="001009D8" w:rsidRDefault="0010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65D825BD" w:rsidR="00811A55" w:rsidRPr="00943056" w:rsidRDefault="00943056">
    <w:pPr>
      <w:pStyle w:val="Zhlav"/>
      <w:jc w:val="right"/>
      <w:rPr>
        <w:lang w:val="cs-CZ"/>
      </w:rPr>
    </w:pPr>
    <w:proofErr w:type="spellStart"/>
    <w:r>
      <w:rPr>
        <w:rFonts w:ascii="Arial" w:hAnsi="Arial"/>
        <w:b/>
        <w:bCs/>
        <w:sz w:val="16"/>
        <w:szCs w:val="16"/>
        <w:lang w:val="cs-CZ"/>
      </w:rPr>
      <w:t>Press</w:t>
    </w:r>
    <w:proofErr w:type="spellEnd"/>
    <w:r>
      <w:rPr>
        <w:rFonts w:ascii="Arial" w:hAnsi="Arial"/>
        <w:b/>
        <w:bCs/>
        <w:sz w:val="16"/>
        <w:szCs w:val="16"/>
        <w:lang w:val="cs-CZ"/>
      </w:rPr>
      <w:t xml:space="preserve"> </w:t>
    </w:r>
    <w:proofErr w:type="spellStart"/>
    <w:r>
      <w:rPr>
        <w:rFonts w:ascii="Arial" w:hAnsi="Arial"/>
        <w:b/>
        <w:bCs/>
        <w:sz w:val="16"/>
        <w:szCs w:val="16"/>
        <w:lang w:val="cs-CZ"/>
      </w:rPr>
      <w:t>release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77777777" w:rsidR="00811A55" w:rsidRDefault="00674910">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6ED8413C">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68DCFD3F" w:rsidR="00811A55" w:rsidRPr="00D413A6" w:rsidRDefault="00D413A6">
                          <w:pPr>
                            <w:ind w:left="180"/>
                            <w:rPr>
                              <w:sz w:val="44"/>
                              <w:szCs w:val="44"/>
                              <w:lang w:val="cs-CZ"/>
                            </w:rPr>
                          </w:pPr>
                          <w:r>
                            <w:rPr>
                              <w:rFonts w:ascii="Arial" w:hAnsi="Arial"/>
                              <w:spacing w:val="118"/>
                              <w:sz w:val="44"/>
                              <w:szCs w:val="44"/>
                              <w:lang w:val="cs-CZ"/>
                            </w:rPr>
                            <w:t>PRESS RELEASE</w:t>
                          </w:r>
                        </w:p>
                      </w:txbxContent>
                    </wps:txbx>
                    <wps:bodyPr wrap="square" lIns="45718" tIns="45718" rIns="45718" bIns="45718"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31F6FE2B" w14:textId="68DCFD3F" w:rsidR="00811A55" w:rsidRPr="00D413A6" w:rsidRDefault="00D413A6">
                    <w:pPr>
                      <w:ind w:left="180"/>
                      <w:rPr>
                        <w:sz w:val="44"/>
                        <w:szCs w:val="44"/>
                        <w:lang w:val="cs-CZ"/>
                      </w:rPr>
                    </w:pPr>
                    <w:r>
                      <w:rPr>
                        <w:rFonts w:ascii="Arial" w:hAnsi="Arial"/>
                        <w:spacing w:val="118"/>
                        <w:sz w:val="44"/>
                        <w:szCs w:val="44"/>
                        <w:lang w:val="cs-CZ"/>
                      </w:rPr>
                      <w:t>PRESS 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7F7E"/>
    <w:rsid w:val="0001507F"/>
    <w:rsid w:val="000235C6"/>
    <w:rsid w:val="000269CF"/>
    <w:rsid w:val="000346DB"/>
    <w:rsid w:val="00035286"/>
    <w:rsid w:val="00045CAB"/>
    <w:rsid w:val="000466D3"/>
    <w:rsid w:val="00050CE6"/>
    <w:rsid w:val="00056EF6"/>
    <w:rsid w:val="00057EE9"/>
    <w:rsid w:val="0006560A"/>
    <w:rsid w:val="000672F3"/>
    <w:rsid w:val="000742FA"/>
    <w:rsid w:val="0007436F"/>
    <w:rsid w:val="00077FB3"/>
    <w:rsid w:val="00086708"/>
    <w:rsid w:val="000946DC"/>
    <w:rsid w:val="000960A1"/>
    <w:rsid w:val="000A3A66"/>
    <w:rsid w:val="000A534D"/>
    <w:rsid w:val="000B06E6"/>
    <w:rsid w:val="000B0A7B"/>
    <w:rsid w:val="000B17E6"/>
    <w:rsid w:val="000B1F40"/>
    <w:rsid w:val="000B6087"/>
    <w:rsid w:val="000C0051"/>
    <w:rsid w:val="000C2FD4"/>
    <w:rsid w:val="000C3DD0"/>
    <w:rsid w:val="000C5DE7"/>
    <w:rsid w:val="000C7165"/>
    <w:rsid w:val="000D09EE"/>
    <w:rsid w:val="000D4AB5"/>
    <w:rsid w:val="000D4D10"/>
    <w:rsid w:val="000D6551"/>
    <w:rsid w:val="000D677A"/>
    <w:rsid w:val="000E08D5"/>
    <w:rsid w:val="000E2726"/>
    <w:rsid w:val="000E311A"/>
    <w:rsid w:val="000F1AAB"/>
    <w:rsid w:val="000F6F3E"/>
    <w:rsid w:val="001009D8"/>
    <w:rsid w:val="001035ED"/>
    <w:rsid w:val="00103E3C"/>
    <w:rsid w:val="001055E6"/>
    <w:rsid w:val="00111AD8"/>
    <w:rsid w:val="00111E58"/>
    <w:rsid w:val="001137AA"/>
    <w:rsid w:val="001254AE"/>
    <w:rsid w:val="00127769"/>
    <w:rsid w:val="001303B7"/>
    <w:rsid w:val="00134891"/>
    <w:rsid w:val="001408D7"/>
    <w:rsid w:val="001424EC"/>
    <w:rsid w:val="001602D6"/>
    <w:rsid w:val="00160E33"/>
    <w:rsid w:val="001625D6"/>
    <w:rsid w:val="0016299E"/>
    <w:rsid w:val="00165403"/>
    <w:rsid w:val="00166316"/>
    <w:rsid w:val="001665F3"/>
    <w:rsid w:val="00171203"/>
    <w:rsid w:val="0017365B"/>
    <w:rsid w:val="00174BA2"/>
    <w:rsid w:val="0017539F"/>
    <w:rsid w:val="001763D4"/>
    <w:rsid w:val="00186A82"/>
    <w:rsid w:val="001A0919"/>
    <w:rsid w:val="001A299D"/>
    <w:rsid w:val="001A382D"/>
    <w:rsid w:val="001B719E"/>
    <w:rsid w:val="001C5159"/>
    <w:rsid w:val="001C607B"/>
    <w:rsid w:val="001D0DB9"/>
    <w:rsid w:val="001D147F"/>
    <w:rsid w:val="001E33C0"/>
    <w:rsid w:val="001E35E8"/>
    <w:rsid w:val="001F074F"/>
    <w:rsid w:val="001F320C"/>
    <w:rsid w:val="001F3DC2"/>
    <w:rsid w:val="001F54B0"/>
    <w:rsid w:val="001F6C1D"/>
    <w:rsid w:val="002029EE"/>
    <w:rsid w:val="00220B3D"/>
    <w:rsid w:val="002227E3"/>
    <w:rsid w:val="00224BC0"/>
    <w:rsid w:val="00226B3C"/>
    <w:rsid w:val="00230C0E"/>
    <w:rsid w:val="002424FE"/>
    <w:rsid w:val="002455ED"/>
    <w:rsid w:val="002459CD"/>
    <w:rsid w:val="00253BD5"/>
    <w:rsid w:val="00255E93"/>
    <w:rsid w:val="002607FD"/>
    <w:rsid w:val="0026093A"/>
    <w:rsid w:val="002679C9"/>
    <w:rsid w:val="00267B5C"/>
    <w:rsid w:val="00277346"/>
    <w:rsid w:val="002834B0"/>
    <w:rsid w:val="002856BE"/>
    <w:rsid w:val="0028587B"/>
    <w:rsid w:val="002865D1"/>
    <w:rsid w:val="002912B5"/>
    <w:rsid w:val="00297D27"/>
    <w:rsid w:val="002A18A7"/>
    <w:rsid w:val="002A336F"/>
    <w:rsid w:val="002B1A78"/>
    <w:rsid w:val="002C0B22"/>
    <w:rsid w:val="002C2075"/>
    <w:rsid w:val="002C571E"/>
    <w:rsid w:val="002D424B"/>
    <w:rsid w:val="002E358F"/>
    <w:rsid w:val="002E7113"/>
    <w:rsid w:val="002F008B"/>
    <w:rsid w:val="002F01B2"/>
    <w:rsid w:val="002F04DB"/>
    <w:rsid w:val="002F291F"/>
    <w:rsid w:val="00306D0F"/>
    <w:rsid w:val="00306DB8"/>
    <w:rsid w:val="0031560E"/>
    <w:rsid w:val="00320D05"/>
    <w:rsid w:val="00325134"/>
    <w:rsid w:val="003266A6"/>
    <w:rsid w:val="00331132"/>
    <w:rsid w:val="0033506A"/>
    <w:rsid w:val="00342800"/>
    <w:rsid w:val="00343701"/>
    <w:rsid w:val="0035085B"/>
    <w:rsid w:val="00357DFD"/>
    <w:rsid w:val="003731AA"/>
    <w:rsid w:val="00384A29"/>
    <w:rsid w:val="00392256"/>
    <w:rsid w:val="003975B6"/>
    <w:rsid w:val="003A4BBB"/>
    <w:rsid w:val="003A7BE2"/>
    <w:rsid w:val="003B348C"/>
    <w:rsid w:val="003B6E41"/>
    <w:rsid w:val="003C3807"/>
    <w:rsid w:val="003C3FC9"/>
    <w:rsid w:val="003C4984"/>
    <w:rsid w:val="003D38BC"/>
    <w:rsid w:val="003E5182"/>
    <w:rsid w:val="003E6803"/>
    <w:rsid w:val="003E6E3F"/>
    <w:rsid w:val="00401855"/>
    <w:rsid w:val="00402ADE"/>
    <w:rsid w:val="00404B4F"/>
    <w:rsid w:val="00404FD9"/>
    <w:rsid w:val="0040535A"/>
    <w:rsid w:val="00407C85"/>
    <w:rsid w:val="00420DE2"/>
    <w:rsid w:val="00421F9D"/>
    <w:rsid w:val="00422A5B"/>
    <w:rsid w:val="004231E2"/>
    <w:rsid w:val="004252CC"/>
    <w:rsid w:val="004259EC"/>
    <w:rsid w:val="00432EDE"/>
    <w:rsid w:val="00434D65"/>
    <w:rsid w:val="00434D6D"/>
    <w:rsid w:val="00437F5D"/>
    <w:rsid w:val="004443EA"/>
    <w:rsid w:val="0044463E"/>
    <w:rsid w:val="004465A1"/>
    <w:rsid w:val="004528E6"/>
    <w:rsid w:val="004657E7"/>
    <w:rsid w:val="00472A47"/>
    <w:rsid w:val="0047575A"/>
    <w:rsid w:val="004806A5"/>
    <w:rsid w:val="00484919"/>
    <w:rsid w:val="004948D8"/>
    <w:rsid w:val="004949DA"/>
    <w:rsid w:val="00494C1D"/>
    <w:rsid w:val="004A05E7"/>
    <w:rsid w:val="004B73AC"/>
    <w:rsid w:val="004C146B"/>
    <w:rsid w:val="004C1500"/>
    <w:rsid w:val="004D4ED0"/>
    <w:rsid w:val="004E07F2"/>
    <w:rsid w:val="004E202C"/>
    <w:rsid w:val="004E2904"/>
    <w:rsid w:val="004E5152"/>
    <w:rsid w:val="004E535D"/>
    <w:rsid w:val="004F12ED"/>
    <w:rsid w:val="004F585E"/>
    <w:rsid w:val="005039A1"/>
    <w:rsid w:val="00513129"/>
    <w:rsid w:val="005225A4"/>
    <w:rsid w:val="00537DC4"/>
    <w:rsid w:val="00540EED"/>
    <w:rsid w:val="0054109B"/>
    <w:rsid w:val="0054341F"/>
    <w:rsid w:val="00560912"/>
    <w:rsid w:val="005674FC"/>
    <w:rsid w:val="005702BE"/>
    <w:rsid w:val="0057263B"/>
    <w:rsid w:val="0057594D"/>
    <w:rsid w:val="005774CB"/>
    <w:rsid w:val="00580C7B"/>
    <w:rsid w:val="00586C41"/>
    <w:rsid w:val="00587888"/>
    <w:rsid w:val="00595B71"/>
    <w:rsid w:val="005A5297"/>
    <w:rsid w:val="005B2E58"/>
    <w:rsid w:val="005B307D"/>
    <w:rsid w:val="005B3B3F"/>
    <w:rsid w:val="005B50AF"/>
    <w:rsid w:val="005C32C5"/>
    <w:rsid w:val="005C5551"/>
    <w:rsid w:val="005D0445"/>
    <w:rsid w:val="005D50A7"/>
    <w:rsid w:val="005D5E31"/>
    <w:rsid w:val="005E34D6"/>
    <w:rsid w:val="005E467A"/>
    <w:rsid w:val="005F00D6"/>
    <w:rsid w:val="005F7146"/>
    <w:rsid w:val="00617544"/>
    <w:rsid w:val="00626E5A"/>
    <w:rsid w:val="006363DA"/>
    <w:rsid w:val="00640194"/>
    <w:rsid w:val="0064362E"/>
    <w:rsid w:val="0066162A"/>
    <w:rsid w:val="00662998"/>
    <w:rsid w:val="00674910"/>
    <w:rsid w:val="00683121"/>
    <w:rsid w:val="006868FA"/>
    <w:rsid w:val="006952F4"/>
    <w:rsid w:val="006A32FC"/>
    <w:rsid w:val="006A5C63"/>
    <w:rsid w:val="006C1E11"/>
    <w:rsid w:val="006C29C4"/>
    <w:rsid w:val="006C46BF"/>
    <w:rsid w:val="006C6644"/>
    <w:rsid w:val="006E00F2"/>
    <w:rsid w:val="006E09E5"/>
    <w:rsid w:val="006E1663"/>
    <w:rsid w:val="006E28F6"/>
    <w:rsid w:val="006E2926"/>
    <w:rsid w:val="006E5543"/>
    <w:rsid w:val="006F4A17"/>
    <w:rsid w:val="006F6BF3"/>
    <w:rsid w:val="00707F22"/>
    <w:rsid w:val="00715004"/>
    <w:rsid w:val="00716B2E"/>
    <w:rsid w:val="00720881"/>
    <w:rsid w:val="00720CB4"/>
    <w:rsid w:val="00721B50"/>
    <w:rsid w:val="00724613"/>
    <w:rsid w:val="0072484D"/>
    <w:rsid w:val="007309EB"/>
    <w:rsid w:val="00733E1B"/>
    <w:rsid w:val="007364B8"/>
    <w:rsid w:val="0074441E"/>
    <w:rsid w:val="007510C6"/>
    <w:rsid w:val="00760560"/>
    <w:rsid w:val="0076169E"/>
    <w:rsid w:val="007626F0"/>
    <w:rsid w:val="007707CC"/>
    <w:rsid w:val="00773F34"/>
    <w:rsid w:val="00775EFE"/>
    <w:rsid w:val="00790307"/>
    <w:rsid w:val="00790735"/>
    <w:rsid w:val="007A002F"/>
    <w:rsid w:val="007A0F04"/>
    <w:rsid w:val="007A1838"/>
    <w:rsid w:val="007A2A52"/>
    <w:rsid w:val="007A3153"/>
    <w:rsid w:val="007B0C2E"/>
    <w:rsid w:val="007B4428"/>
    <w:rsid w:val="007C4D23"/>
    <w:rsid w:val="007C59B9"/>
    <w:rsid w:val="007C6082"/>
    <w:rsid w:val="007C7467"/>
    <w:rsid w:val="007E388B"/>
    <w:rsid w:val="007E7B55"/>
    <w:rsid w:val="007F6F2A"/>
    <w:rsid w:val="0080126A"/>
    <w:rsid w:val="008024E8"/>
    <w:rsid w:val="00803242"/>
    <w:rsid w:val="00804C89"/>
    <w:rsid w:val="00805E66"/>
    <w:rsid w:val="00806DB0"/>
    <w:rsid w:val="008106BE"/>
    <w:rsid w:val="00811A55"/>
    <w:rsid w:val="00813B62"/>
    <w:rsid w:val="0081514F"/>
    <w:rsid w:val="0083340B"/>
    <w:rsid w:val="0083595D"/>
    <w:rsid w:val="0084056B"/>
    <w:rsid w:val="00842A4A"/>
    <w:rsid w:val="00842EAC"/>
    <w:rsid w:val="008435C5"/>
    <w:rsid w:val="00846C6C"/>
    <w:rsid w:val="00847154"/>
    <w:rsid w:val="008544F7"/>
    <w:rsid w:val="00854D09"/>
    <w:rsid w:val="0085520C"/>
    <w:rsid w:val="00863AED"/>
    <w:rsid w:val="00864BE4"/>
    <w:rsid w:val="008736B3"/>
    <w:rsid w:val="00873B1D"/>
    <w:rsid w:val="00877E57"/>
    <w:rsid w:val="00891BE5"/>
    <w:rsid w:val="008A1B04"/>
    <w:rsid w:val="008A238C"/>
    <w:rsid w:val="008A5730"/>
    <w:rsid w:val="008A6E60"/>
    <w:rsid w:val="008B0FDD"/>
    <w:rsid w:val="008B19A4"/>
    <w:rsid w:val="008B1FC0"/>
    <w:rsid w:val="008B6AF2"/>
    <w:rsid w:val="008B6B4A"/>
    <w:rsid w:val="008C06B8"/>
    <w:rsid w:val="008C2782"/>
    <w:rsid w:val="008C6D76"/>
    <w:rsid w:val="008D28B5"/>
    <w:rsid w:val="008D45C4"/>
    <w:rsid w:val="008D70BD"/>
    <w:rsid w:val="008D71FD"/>
    <w:rsid w:val="008D7260"/>
    <w:rsid w:val="008E30FE"/>
    <w:rsid w:val="008E33EE"/>
    <w:rsid w:val="008E3641"/>
    <w:rsid w:val="008E6EE4"/>
    <w:rsid w:val="008F19A4"/>
    <w:rsid w:val="008F4C38"/>
    <w:rsid w:val="0090441C"/>
    <w:rsid w:val="00906070"/>
    <w:rsid w:val="00910D78"/>
    <w:rsid w:val="009137D3"/>
    <w:rsid w:val="009141A5"/>
    <w:rsid w:val="00915DE5"/>
    <w:rsid w:val="009177BF"/>
    <w:rsid w:val="00924627"/>
    <w:rsid w:val="009323F3"/>
    <w:rsid w:val="00932E7F"/>
    <w:rsid w:val="00943056"/>
    <w:rsid w:val="00950478"/>
    <w:rsid w:val="00956AA5"/>
    <w:rsid w:val="009601FB"/>
    <w:rsid w:val="00960BC6"/>
    <w:rsid w:val="00960F11"/>
    <w:rsid w:val="00962AF4"/>
    <w:rsid w:val="00966B6C"/>
    <w:rsid w:val="00973961"/>
    <w:rsid w:val="00974070"/>
    <w:rsid w:val="00974479"/>
    <w:rsid w:val="00985E72"/>
    <w:rsid w:val="009942FE"/>
    <w:rsid w:val="009977C1"/>
    <w:rsid w:val="009A0C95"/>
    <w:rsid w:val="009A15F7"/>
    <w:rsid w:val="009B3A99"/>
    <w:rsid w:val="009B5A2F"/>
    <w:rsid w:val="009B7E52"/>
    <w:rsid w:val="009C1EE3"/>
    <w:rsid w:val="009C2A54"/>
    <w:rsid w:val="009C30E4"/>
    <w:rsid w:val="009C3C1F"/>
    <w:rsid w:val="009C5AF0"/>
    <w:rsid w:val="009D209C"/>
    <w:rsid w:val="009D6296"/>
    <w:rsid w:val="009D7F57"/>
    <w:rsid w:val="009E4C65"/>
    <w:rsid w:val="009E7E6C"/>
    <w:rsid w:val="009F0C66"/>
    <w:rsid w:val="009F2A82"/>
    <w:rsid w:val="009F3A5F"/>
    <w:rsid w:val="009F5684"/>
    <w:rsid w:val="00A00462"/>
    <w:rsid w:val="00A11DF1"/>
    <w:rsid w:val="00A13EC8"/>
    <w:rsid w:val="00A22E8E"/>
    <w:rsid w:val="00A23284"/>
    <w:rsid w:val="00A26D5D"/>
    <w:rsid w:val="00A30B75"/>
    <w:rsid w:val="00A30E2E"/>
    <w:rsid w:val="00A32A1A"/>
    <w:rsid w:val="00A33F75"/>
    <w:rsid w:val="00A501C9"/>
    <w:rsid w:val="00A52809"/>
    <w:rsid w:val="00A567BE"/>
    <w:rsid w:val="00A610CE"/>
    <w:rsid w:val="00A616CD"/>
    <w:rsid w:val="00A65B3C"/>
    <w:rsid w:val="00A70A53"/>
    <w:rsid w:val="00A7127F"/>
    <w:rsid w:val="00A74B13"/>
    <w:rsid w:val="00A75CB4"/>
    <w:rsid w:val="00A92EDC"/>
    <w:rsid w:val="00A93248"/>
    <w:rsid w:val="00AA397A"/>
    <w:rsid w:val="00AB00D4"/>
    <w:rsid w:val="00AB263C"/>
    <w:rsid w:val="00AB32CC"/>
    <w:rsid w:val="00AC0F19"/>
    <w:rsid w:val="00AC1788"/>
    <w:rsid w:val="00AD0DA6"/>
    <w:rsid w:val="00AD631D"/>
    <w:rsid w:val="00AD747A"/>
    <w:rsid w:val="00AD789E"/>
    <w:rsid w:val="00AE348A"/>
    <w:rsid w:val="00AE3F1A"/>
    <w:rsid w:val="00AE55A6"/>
    <w:rsid w:val="00AE628C"/>
    <w:rsid w:val="00AF20B1"/>
    <w:rsid w:val="00AF5351"/>
    <w:rsid w:val="00AF6053"/>
    <w:rsid w:val="00B0083B"/>
    <w:rsid w:val="00B10528"/>
    <w:rsid w:val="00B10EB3"/>
    <w:rsid w:val="00B14880"/>
    <w:rsid w:val="00B2775F"/>
    <w:rsid w:val="00B40B4A"/>
    <w:rsid w:val="00B41BF1"/>
    <w:rsid w:val="00B41DDC"/>
    <w:rsid w:val="00B631DB"/>
    <w:rsid w:val="00B63E09"/>
    <w:rsid w:val="00B64DD0"/>
    <w:rsid w:val="00B67202"/>
    <w:rsid w:val="00B67912"/>
    <w:rsid w:val="00B67C72"/>
    <w:rsid w:val="00B72EE7"/>
    <w:rsid w:val="00B859EE"/>
    <w:rsid w:val="00B86708"/>
    <w:rsid w:val="00B91CD5"/>
    <w:rsid w:val="00B94819"/>
    <w:rsid w:val="00BA1588"/>
    <w:rsid w:val="00BA4829"/>
    <w:rsid w:val="00BA4A47"/>
    <w:rsid w:val="00BB1021"/>
    <w:rsid w:val="00BB10A0"/>
    <w:rsid w:val="00BB5B91"/>
    <w:rsid w:val="00BC30AB"/>
    <w:rsid w:val="00BC341B"/>
    <w:rsid w:val="00BE60B2"/>
    <w:rsid w:val="00BF39C4"/>
    <w:rsid w:val="00BF6DF5"/>
    <w:rsid w:val="00C0042E"/>
    <w:rsid w:val="00C01F76"/>
    <w:rsid w:val="00C03821"/>
    <w:rsid w:val="00C14C86"/>
    <w:rsid w:val="00C15081"/>
    <w:rsid w:val="00C2252C"/>
    <w:rsid w:val="00C22ACD"/>
    <w:rsid w:val="00C24059"/>
    <w:rsid w:val="00C241C9"/>
    <w:rsid w:val="00C27E9D"/>
    <w:rsid w:val="00C36546"/>
    <w:rsid w:val="00C4096F"/>
    <w:rsid w:val="00C40BB4"/>
    <w:rsid w:val="00C47A4E"/>
    <w:rsid w:val="00C47F16"/>
    <w:rsid w:val="00C525D9"/>
    <w:rsid w:val="00C54FF8"/>
    <w:rsid w:val="00C57DB5"/>
    <w:rsid w:val="00C7538F"/>
    <w:rsid w:val="00C81202"/>
    <w:rsid w:val="00C823EA"/>
    <w:rsid w:val="00C83A69"/>
    <w:rsid w:val="00C84D71"/>
    <w:rsid w:val="00C905EC"/>
    <w:rsid w:val="00C9793D"/>
    <w:rsid w:val="00CB5202"/>
    <w:rsid w:val="00CC2070"/>
    <w:rsid w:val="00CD6B40"/>
    <w:rsid w:val="00CE1ADA"/>
    <w:rsid w:val="00CE3538"/>
    <w:rsid w:val="00CE618A"/>
    <w:rsid w:val="00CF1159"/>
    <w:rsid w:val="00CF1773"/>
    <w:rsid w:val="00D03574"/>
    <w:rsid w:val="00D0736C"/>
    <w:rsid w:val="00D10E5E"/>
    <w:rsid w:val="00D1177F"/>
    <w:rsid w:val="00D203DA"/>
    <w:rsid w:val="00D21C22"/>
    <w:rsid w:val="00D30633"/>
    <w:rsid w:val="00D3497C"/>
    <w:rsid w:val="00D37894"/>
    <w:rsid w:val="00D413A6"/>
    <w:rsid w:val="00D43291"/>
    <w:rsid w:val="00D44043"/>
    <w:rsid w:val="00D470D4"/>
    <w:rsid w:val="00D57EBB"/>
    <w:rsid w:val="00D6002D"/>
    <w:rsid w:val="00D607AF"/>
    <w:rsid w:val="00D60E42"/>
    <w:rsid w:val="00D7090C"/>
    <w:rsid w:val="00D763E9"/>
    <w:rsid w:val="00D82F90"/>
    <w:rsid w:val="00D91756"/>
    <w:rsid w:val="00DA3591"/>
    <w:rsid w:val="00DA4174"/>
    <w:rsid w:val="00DA6087"/>
    <w:rsid w:val="00DA771C"/>
    <w:rsid w:val="00DB068E"/>
    <w:rsid w:val="00DB3B6A"/>
    <w:rsid w:val="00DB692C"/>
    <w:rsid w:val="00DC2A23"/>
    <w:rsid w:val="00DC30C8"/>
    <w:rsid w:val="00DC4637"/>
    <w:rsid w:val="00DC57F5"/>
    <w:rsid w:val="00DC5880"/>
    <w:rsid w:val="00DD2B60"/>
    <w:rsid w:val="00DD6E49"/>
    <w:rsid w:val="00E001C0"/>
    <w:rsid w:val="00E003BD"/>
    <w:rsid w:val="00E1265B"/>
    <w:rsid w:val="00E12927"/>
    <w:rsid w:val="00E17D74"/>
    <w:rsid w:val="00E208C4"/>
    <w:rsid w:val="00E2577C"/>
    <w:rsid w:val="00E27A29"/>
    <w:rsid w:val="00E31D07"/>
    <w:rsid w:val="00E362F8"/>
    <w:rsid w:val="00E370AB"/>
    <w:rsid w:val="00E42355"/>
    <w:rsid w:val="00E4770D"/>
    <w:rsid w:val="00E47BFE"/>
    <w:rsid w:val="00E5435F"/>
    <w:rsid w:val="00E54E08"/>
    <w:rsid w:val="00E61718"/>
    <w:rsid w:val="00E61A11"/>
    <w:rsid w:val="00E669A6"/>
    <w:rsid w:val="00E72FFC"/>
    <w:rsid w:val="00E77151"/>
    <w:rsid w:val="00E821D6"/>
    <w:rsid w:val="00E90DDE"/>
    <w:rsid w:val="00E91D58"/>
    <w:rsid w:val="00E939E9"/>
    <w:rsid w:val="00E96F5B"/>
    <w:rsid w:val="00E97DE5"/>
    <w:rsid w:val="00EA1D85"/>
    <w:rsid w:val="00EA2ADB"/>
    <w:rsid w:val="00EB0E2D"/>
    <w:rsid w:val="00EB3C0C"/>
    <w:rsid w:val="00EC5786"/>
    <w:rsid w:val="00EC57FB"/>
    <w:rsid w:val="00ED00CD"/>
    <w:rsid w:val="00ED39EE"/>
    <w:rsid w:val="00EE2295"/>
    <w:rsid w:val="00EE286E"/>
    <w:rsid w:val="00F003E3"/>
    <w:rsid w:val="00F01FAA"/>
    <w:rsid w:val="00F1765F"/>
    <w:rsid w:val="00F23786"/>
    <w:rsid w:val="00F2703F"/>
    <w:rsid w:val="00F27BD9"/>
    <w:rsid w:val="00F31411"/>
    <w:rsid w:val="00F35C42"/>
    <w:rsid w:val="00F36B42"/>
    <w:rsid w:val="00F37C17"/>
    <w:rsid w:val="00F4003D"/>
    <w:rsid w:val="00F5468F"/>
    <w:rsid w:val="00F56D63"/>
    <w:rsid w:val="00F61B3E"/>
    <w:rsid w:val="00F62E7B"/>
    <w:rsid w:val="00F64747"/>
    <w:rsid w:val="00F74CA1"/>
    <w:rsid w:val="00F84320"/>
    <w:rsid w:val="00F924A0"/>
    <w:rsid w:val="00FA0B40"/>
    <w:rsid w:val="00FA22C9"/>
    <w:rsid w:val="00FA3C8E"/>
    <w:rsid w:val="00FA6E22"/>
    <w:rsid w:val="00FC2887"/>
    <w:rsid w:val="00FC3668"/>
    <w:rsid w:val="00FD3EC8"/>
    <w:rsid w:val="00FD5051"/>
    <w:rsid w:val="00FE281C"/>
    <w:rsid w:val="00FE75FC"/>
    <w:rsid w:val="00FF01C8"/>
    <w:rsid w:val="00FF1339"/>
    <w:rsid w:val="00FF1565"/>
    <w:rsid w:val="00FF3232"/>
    <w:rsid w:val="00FF37C0"/>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instagram.com/cbre_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linkedin.com/company/3585825?trk=tyah&amp;trkInfo=clickedVertical%253Acompany%252Cidx%253A1-1-1%252CtarId%253A1431360641868%252Ctas%253Acbre%2520czech" TargetMode="External"/><Relationship Id="rId2" Type="http://schemas.openxmlformats.org/officeDocument/2006/relationships/customXml" Target="../customXml/item2.xml"/><Relationship Id="rId16" Type="http://schemas.openxmlformats.org/officeDocument/2006/relationships/hyperlink" Target="https://www.facebook.com/pages/CBRE-News/626929170775263?ref=ts&amp;fref=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crestcom.cz/cz"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amila.cadkova@crestcom.c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2.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066C1-7A3C-462C-8865-B916E4EE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8D7BA-1435-4165-A719-D8A0330A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1582</Words>
  <Characters>9334</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Ceresnikova, Hana @ PRAGUE</dc:creator>
  <cp:lastModifiedBy>Tereza Štosová</cp:lastModifiedBy>
  <cp:revision>14</cp:revision>
  <cp:lastPrinted>2019-08-05T07:41:00Z</cp:lastPrinted>
  <dcterms:created xsi:type="dcterms:W3CDTF">2019-10-07T12:35:00Z</dcterms:created>
  <dcterms:modified xsi:type="dcterms:W3CDTF">2019-10-07T13:40:00Z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