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A69C9E" w14:textId="77777777" w:rsidR="00D0436C" w:rsidRDefault="00D0436C" w:rsidP="00D0436C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/>
          <w:shd w:val="clear" w:color="auto" w:fill="FFFFFF"/>
          <w:lang w:val="cs-CZ"/>
        </w:rPr>
      </w:pPr>
    </w:p>
    <w:p w14:paraId="0308D0D9" w14:textId="77777777" w:rsidR="00D0436C" w:rsidRPr="00D0436C" w:rsidRDefault="00D0436C" w:rsidP="00D0436C">
      <w:pPr>
        <w:jc w:val="both"/>
        <w:rPr>
          <w:rFonts w:ascii="Calibri" w:eastAsia="Times New Roman" w:hAnsi="Calibri" w:cs="Times New Roman"/>
          <w:b/>
          <w:sz w:val="27"/>
          <w:szCs w:val="27"/>
          <w:shd w:val="clear" w:color="auto" w:fill="FFFFFF"/>
          <w:lang w:val="cs-CZ"/>
        </w:rPr>
      </w:pPr>
      <w:r w:rsidRPr="00D0436C">
        <w:rPr>
          <w:rFonts w:ascii="Calibri" w:eastAsia="Times New Roman" w:hAnsi="Calibri" w:cs="Times New Roman"/>
          <w:b/>
          <w:sz w:val="27"/>
          <w:szCs w:val="27"/>
          <w:shd w:val="clear" w:color="auto" w:fill="FFFFFF"/>
          <w:lang w:val="cs-CZ"/>
        </w:rPr>
        <w:t>CBRE: Stavebnictví jako hlavní tahoun restartu české ekonomiky. Stále větší roli při tom sehraje ESG (dopad řízení firem na lidské zdraví, ekologii a udržitelnost výstavby)</w:t>
      </w:r>
    </w:p>
    <w:p w14:paraId="06EEE5E9" w14:textId="77777777" w:rsidR="00636C43" w:rsidRDefault="00636C43" w:rsidP="00D0436C">
      <w:pPr>
        <w:jc w:val="both"/>
        <w:rPr>
          <w:rFonts w:ascii="Calibri" w:eastAsia="Calibri" w:hAnsi="Calibri" w:cs="Calibri"/>
          <w:lang w:val="cs-CZ"/>
        </w:rPr>
      </w:pPr>
    </w:p>
    <w:p w14:paraId="0440C431" w14:textId="6D34F597" w:rsidR="00D0436C" w:rsidRPr="009F1156" w:rsidRDefault="00D0436C" w:rsidP="00D0436C">
      <w:pPr>
        <w:jc w:val="both"/>
        <w:rPr>
          <w:rFonts w:ascii="Calibri" w:eastAsia="Times New Roman" w:hAnsi="Calibri" w:cs="Times New Roman"/>
          <w:color w:val="002060"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>
        <w:rPr>
          <w:rFonts w:ascii="Calibri" w:eastAsia="Calibri" w:hAnsi="Calibri" w:cs="Calibri"/>
          <w:color w:val="auto"/>
          <w:lang w:val="cs-CZ"/>
        </w:rPr>
        <w:t>11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color w:val="auto"/>
          <w:lang w:val="cs-CZ"/>
        </w:rPr>
        <w:t>květ</w:t>
      </w:r>
      <w:r>
        <w:rPr>
          <w:rFonts w:ascii="Calibri" w:eastAsia="Calibri" w:hAnsi="Calibri" w:cs="Calibri"/>
          <w:color w:val="auto"/>
          <w:lang w:val="cs-CZ"/>
        </w:rPr>
        <w:t xml:space="preserve">na </w:t>
      </w:r>
      <w:r>
        <w:rPr>
          <w:rFonts w:ascii="Calibri" w:eastAsia="Calibri" w:hAnsi="Calibri" w:cs="Calibri"/>
          <w:lang w:val="cs-CZ"/>
        </w:rPr>
        <w:t xml:space="preserve">2020 – </w:t>
      </w:r>
      <w:r w:rsidRPr="009F1156">
        <w:rPr>
          <w:rFonts w:ascii="Calibri" w:eastAsia="Times New Roman" w:hAnsi="Calibri" w:cs="Times New Roman"/>
          <w:shd w:val="clear" w:color="auto" w:fill="FFFFFF"/>
          <w:lang w:val="cs-CZ"/>
        </w:rPr>
        <w:t xml:space="preserve">V současné době se veškerá pozornost upíná na zažehnání pandemie Covid-19 a ochranu lidského zdraví. Do značné míry zcela logicky. Nicméně každá krize jednou skončí a do popředí se znovu dostanou další palčivá témata, která ovlivňují naše </w:t>
      </w:r>
      <w:r>
        <w:rPr>
          <w:rFonts w:ascii="Calibri" w:eastAsia="Times New Roman" w:hAnsi="Calibri" w:cs="Times New Roman"/>
          <w:shd w:val="clear" w:color="auto" w:fill="FFFFFF"/>
          <w:lang w:val="cs-CZ"/>
        </w:rPr>
        <w:t>životy a hrají významnou roli v </w:t>
      </w:r>
      <w:r w:rsidRPr="009F1156">
        <w:rPr>
          <w:rFonts w:ascii="Calibri" w:eastAsia="Times New Roman" w:hAnsi="Calibri" w:cs="Times New Roman"/>
          <w:shd w:val="clear" w:color="auto" w:fill="FFFFFF"/>
          <w:lang w:val="cs-CZ"/>
        </w:rPr>
        <w:t>naší budoucnosti. Mezi ně patří ekologie, ochrana životního prostředí a s tím související udržitelnost nové výstavby. Stavebnictví a s ním spojené inve</w:t>
      </w:r>
      <w:r>
        <w:rPr>
          <w:rFonts w:ascii="Calibri" w:eastAsia="Times New Roman" w:hAnsi="Calibri" w:cs="Times New Roman"/>
          <w:shd w:val="clear" w:color="auto" w:fill="FFFFFF"/>
          <w:lang w:val="cs-CZ"/>
        </w:rPr>
        <w:t>stice a obory mají být jedním z </w:t>
      </w:r>
      <w:r w:rsidRPr="009F1156">
        <w:rPr>
          <w:rFonts w:ascii="Calibri" w:eastAsia="Times New Roman" w:hAnsi="Calibri" w:cs="Times New Roman"/>
          <w:shd w:val="clear" w:color="auto" w:fill="FFFFFF"/>
          <w:lang w:val="cs-CZ"/>
        </w:rPr>
        <w:t>hlavních a českou vládou deklarovaných tahounů, které mají znovu nastartovat naši ekonomiku. Společnost CBRE, světový lídr v oblasti komerčních realitních služeb, aktuálně eviduje zájem od soukromých investorů i fondů, kteří dosud zachovávají vyčkávací strategii, ale jsou připraveni rychle zareagovat na restart trhu. Proto již nyní CBRE zavádí novou službu</w:t>
      </w:r>
      <w:r>
        <w:rPr>
          <w:rFonts w:ascii="Calibri" w:eastAsia="Times New Roman" w:hAnsi="Calibri" w:cs="Times New Roman"/>
          <w:shd w:val="clear" w:color="auto" w:fill="FFFFFF"/>
          <w:lang w:val="cs-CZ"/>
        </w:rPr>
        <w:t>, která se zaměřuje</w:t>
      </w:r>
      <w:r w:rsidRPr="009F1156">
        <w:rPr>
          <w:rFonts w:ascii="Calibri" w:eastAsia="Times New Roman" w:hAnsi="Calibri" w:cs="Times New Roman"/>
          <w:shd w:val="clear" w:color="auto" w:fill="FFFFFF"/>
          <w:lang w:val="cs-CZ"/>
        </w:rPr>
        <w:t xml:space="preserve"> na sociálně odpovědné inv</w:t>
      </w:r>
      <w:r>
        <w:rPr>
          <w:rFonts w:ascii="Calibri" w:eastAsia="Times New Roman" w:hAnsi="Calibri" w:cs="Times New Roman"/>
          <w:shd w:val="clear" w:color="auto" w:fill="FFFFFF"/>
          <w:lang w:val="cs-CZ"/>
        </w:rPr>
        <w:t xml:space="preserve">estování a řízení firem (ESG – </w:t>
      </w:r>
      <w:proofErr w:type="spellStart"/>
      <w:r>
        <w:rPr>
          <w:rFonts w:ascii="Calibri" w:eastAsia="Times New Roman" w:hAnsi="Calibri" w:cs="Times New Roman"/>
          <w:shd w:val="clear" w:color="auto" w:fill="FFFFFF"/>
          <w:lang w:val="cs-CZ"/>
        </w:rPr>
        <w:t>Environmenal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val="cs-CZ"/>
        </w:rPr>
        <w:t xml:space="preserve">, </w:t>
      </w:r>
      <w:proofErr w:type="spellStart"/>
      <w:r>
        <w:rPr>
          <w:rFonts w:ascii="Calibri" w:eastAsia="Times New Roman" w:hAnsi="Calibri" w:cs="Times New Roman"/>
          <w:shd w:val="clear" w:color="auto" w:fill="FFFFFF"/>
          <w:lang w:val="cs-CZ"/>
        </w:rPr>
        <w:t>Social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val="cs-CZ"/>
        </w:rPr>
        <w:t xml:space="preserve">, </w:t>
      </w:r>
      <w:proofErr w:type="spellStart"/>
      <w:r>
        <w:rPr>
          <w:rFonts w:ascii="Calibri" w:eastAsia="Times New Roman" w:hAnsi="Calibri" w:cs="Times New Roman"/>
          <w:shd w:val="clear" w:color="auto" w:fill="FFFFFF"/>
          <w:lang w:val="cs-CZ"/>
        </w:rPr>
        <w:t>Governance</w:t>
      </w:r>
      <w:proofErr w:type="spellEnd"/>
      <w:r>
        <w:rPr>
          <w:rFonts w:ascii="Calibri" w:eastAsia="Times New Roman" w:hAnsi="Calibri" w:cs="Times New Roman"/>
          <w:shd w:val="clear" w:color="auto" w:fill="FFFFFF"/>
          <w:lang w:val="cs-CZ"/>
        </w:rPr>
        <w:t>) s důrazem na </w:t>
      </w:r>
      <w:r w:rsidRPr="009F1156">
        <w:rPr>
          <w:rFonts w:ascii="Calibri" w:eastAsia="Times New Roman" w:hAnsi="Calibri" w:cs="Times New Roman"/>
          <w:shd w:val="clear" w:color="auto" w:fill="FFFFFF"/>
          <w:lang w:val="cs-CZ"/>
        </w:rPr>
        <w:t>udržitelnost a zodpovědný vztah k životnímu prostředí.</w:t>
      </w:r>
    </w:p>
    <w:p w14:paraId="15F6DF9B" w14:textId="77777777" w:rsidR="00636C43" w:rsidRDefault="00636C43" w:rsidP="00D0436C">
      <w:pPr>
        <w:jc w:val="both"/>
        <w:rPr>
          <w:rStyle w:val="Siln"/>
          <w:rFonts w:ascii="Calibri" w:hAnsi="Calibri" w:cs="Calibri"/>
          <w:b w:val="0"/>
          <w:lang w:val="cs-CZ"/>
        </w:rPr>
      </w:pPr>
    </w:p>
    <w:p w14:paraId="43B3377D" w14:textId="77777777" w:rsidR="00D0436C" w:rsidRPr="00D0436C" w:rsidRDefault="00D0436C" w:rsidP="00D0436C">
      <w:pPr>
        <w:jc w:val="both"/>
        <w:rPr>
          <w:rStyle w:val="Siln"/>
          <w:rFonts w:ascii="Calibri" w:hAnsi="Calibri" w:cs="Calibri"/>
          <w:b w:val="0"/>
          <w:lang w:val="cs-CZ"/>
        </w:rPr>
      </w:pPr>
      <w:r w:rsidRPr="00D0436C">
        <w:rPr>
          <w:rStyle w:val="Siln"/>
          <w:rFonts w:ascii="Calibri" w:hAnsi="Calibri" w:cs="Calibri"/>
          <w:b w:val="0"/>
          <w:lang w:val="cs-CZ"/>
        </w:rPr>
        <w:t>Návrh kompletní strategie ESG je v CBRE postavena na čtyřech základních pilířích:</w:t>
      </w:r>
    </w:p>
    <w:p w14:paraId="4D647CE8" w14:textId="77777777" w:rsidR="00D0436C" w:rsidRPr="00D0436C" w:rsidRDefault="00D0436C" w:rsidP="00D0436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Siln"/>
          <w:rFonts w:ascii="Calibri" w:hAnsi="Calibri" w:cs="Calibri"/>
          <w:b w:val="0"/>
          <w:sz w:val="24"/>
          <w:szCs w:val="24"/>
          <w:lang w:val="cs-CZ"/>
        </w:rPr>
      </w:pPr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 xml:space="preserve">Green </w:t>
      </w: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Check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:</w:t>
      </w:r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 xml:space="preserve"> jeho účelem je společnosti poskytnout zpětnou vazbu k výkonnosti využívané budovy, najít slabé stránky a navrhnout potřebná opatření s cílem vyladit zavedené postupy, snížit provozní náklady a minimalizovat dopady na životní prostředí. CBRE v něm zohledňuje hned několik aspektů, například využívání energie a vody v objektu, nakládání s odpady, systém správy nemovitosti, dopravní napojení atd. Následně firmu provede certifikačním procesem BREEAM In-use či LEED O+M prokazujícím nízký dopad již fungující budovy na životní prostředí.</w:t>
      </w:r>
    </w:p>
    <w:p w14:paraId="2318BE47" w14:textId="77777777" w:rsidR="00D0436C" w:rsidRPr="00D0436C" w:rsidRDefault="00D0436C" w:rsidP="00D0436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Siln"/>
          <w:rFonts w:ascii="Calibri" w:hAnsi="Calibri" w:cs="Calibri"/>
          <w:b w:val="0"/>
          <w:sz w:val="24"/>
          <w:szCs w:val="24"/>
          <w:lang w:val="cs-CZ"/>
        </w:rPr>
      </w:pP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Health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Check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:</w:t>
      </w:r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 xml:space="preserve"> záměrem je posoudit kvalitu pracovního prostředí a jeho vliv na fyzické a duševní zdraví zaměstnanců. Zdravé a komfortní vnitřní prostředí snižuje náklady společnosti na zaměstnance a zároveň zvyšuje jejich produktivitu práce. CBRE v rámci tohoto pilíře identifikuje silné a slabé stránky společnosti a doporučí vhodné změny. Následně firmu provede certifikačním procesem WELL či </w:t>
      </w:r>
      <w:proofErr w:type="spellStart"/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>Fitwel</w:t>
      </w:r>
      <w:proofErr w:type="spellEnd"/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 xml:space="preserve"> potvrzujícím kvalitu vnitřního prostředí pro jejich zaměstnance.</w:t>
      </w:r>
    </w:p>
    <w:p w14:paraId="07487626" w14:textId="77777777" w:rsidR="00D0436C" w:rsidRPr="00D0436C" w:rsidRDefault="00D0436C" w:rsidP="00D0436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Siln"/>
          <w:rFonts w:ascii="Calibri" w:hAnsi="Calibri" w:cs="Calibri"/>
          <w:b w:val="0"/>
          <w:sz w:val="24"/>
          <w:szCs w:val="24"/>
          <w:lang w:val="cs-CZ"/>
        </w:rPr>
      </w:pP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Energy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Advisory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:</w:t>
      </w:r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 xml:space="preserve"> cílem je optimalizovat spotřebu energií a celkově zlepšit energetickou bilanci budovy. Optimalizace spočívají v jednorázových opatřeních, odstranění defektů či vylepšení systémů budovy a v dlouhodobé práci s průběžně sbíranými daty o chování budovy a jejich obyvatel. Pro udržení optimálního stavu je tedy klíčová automatizace procesů, vizualizace a práce s daty či využívání datových center pro </w:t>
      </w:r>
      <w:proofErr w:type="spellStart"/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>benchmarking</w:t>
      </w:r>
      <w:proofErr w:type="spellEnd"/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>. CBRE pokrývá obě části.</w:t>
      </w:r>
    </w:p>
    <w:p w14:paraId="01E946CE" w14:textId="77777777" w:rsidR="00D0436C" w:rsidRPr="00D0436C" w:rsidRDefault="00D0436C" w:rsidP="00D0436C">
      <w:pPr>
        <w:pStyle w:val="Odstavecseseznamem"/>
        <w:numPr>
          <w:ilvl w:val="0"/>
          <w:numId w:val="2"/>
        </w:numPr>
        <w:tabs>
          <w:tab w:val="right" w:pos="9072"/>
        </w:tabs>
        <w:spacing w:after="0" w:line="240" w:lineRule="auto"/>
        <w:ind w:left="714" w:hanging="357"/>
        <w:jc w:val="both"/>
        <w:rPr>
          <w:rStyle w:val="Siln"/>
          <w:rFonts w:ascii="Calibri" w:hAnsi="Calibri" w:cs="Calibri"/>
          <w:b w:val="0"/>
          <w:bCs w:val="0"/>
          <w:sz w:val="24"/>
          <w:szCs w:val="24"/>
          <w:lang w:val="en-GB"/>
        </w:rPr>
      </w:pP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Workplace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Strategies</w:t>
      </w:r>
      <w:proofErr w:type="spellEnd"/>
      <w:r w:rsidRPr="00D0436C">
        <w:rPr>
          <w:rStyle w:val="Siln"/>
          <w:rFonts w:ascii="Calibri" w:hAnsi="Calibri" w:cs="Calibri"/>
          <w:sz w:val="24"/>
          <w:szCs w:val="24"/>
          <w:lang w:val="cs-CZ"/>
        </w:rPr>
        <w:t>:</w:t>
      </w:r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 xml:space="preserve"> jeho smyslem je podpořit pracovní výkon a zlepšit kvalitu vztahů na pracovišti. Zavádění změn je postaveno na důkladné analýze současného stavu, a to denní rutiny zaměstnanců, jejich pracovních návyků a vzájemných vazeb.</w:t>
      </w:r>
      <w:r w:rsidRPr="00D0436C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 xml:space="preserve">CBRE následně doporučí ideální rozmístění kanceláří, pracovních míst a postupů. Navíc prostřednictvím </w:t>
      </w:r>
      <w:r w:rsidRPr="00D0436C">
        <w:rPr>
          <w:rFonts w:ascii="Calibri" w:hAnsi="Calibri" w:cs="Calibri"/>
          <w:bCs/>
          <w:sz w:val="24"/>
          <w:szCs w:val="24"/>
          <w:lang w:val="cs-CZ"/>
        </w:rPr>
        <w:lastRenderedPageBreak/>
        <w:t>opatření založených na motivaci a správné komunikaci zvyšuje</w:t>
      </w:r>
      <w:r w:rsidRPr="00D0436C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Pr="00D0436C">
        <w:rPr>
          <w:rStyle w:val="Siln"/>
          <w:rFonts w:ascii="Calibri" w:hAnsi="Calibri" w:cs="Calibri"/>
          <w:b w:val="0"/>
          <w:sz w:val="24"/>
          <w:szCs w:val="24"/>
          <w:lang w:val="cs-CZ"/>
        </w:rPr>
        <w:t>angažovanost zaměstnanců.</w:t>
      </w:r>
    </w:p>
    <w:p w14:paraId="3AED0D7C" w14:textId="77777777" w:rsidR="00636C43" w:rsidRDefault="00636C43" w:rsidP="00D0436C">
      <w:pPr>
        <w:pStyle w:val="Prosttext"/>
        <w:jc w:val="both"/>
        <w:rPr>
          <w:rStyle w:val="Siln"/>
          <w:b w:val="0"/>
          <w:i/>
          <w:sz w:val="24"/>
          <w:szCs w:val="24"/>
        </w:rPr>
      </w:pPr>
    </w:p>
    <w:p w14:paraId="6D4E0CBF" w14:textId="77777777" w:rsidR="00D0436C" w:rsidRPr="00712A68" w:rsidRDefault="00D0436C" w:rsidP="00D0436C">
      <w:pPr>
        <w:pStyle w:val="Prosttext"/>
        <w:jc w:val="both"/>
        <w:rPr>
          <w:rStyle w:val="Siln"/>
          <w:bCs w:val="0"/>
          <w:sz w:val="24"/>
          <w:szCs w:val="24"/>
        </w:rPr>
      </w:pPr>
      <w:r w:rsidRPr="00D0436C">
        <w:rPr>
          <w:rStyle w:val="Siln"/>
          <w:b w:val="0"/>
          <w:i/>
          <w:sz w:val="24"/>
          <w:szCs w:val="24"/>
        </w:rPr>
        <w:t>„Společnosti budou v blízké době ještě více zvažovat principy ESG, které zvýší jejich konkurenceschopnost a v dlouhodobém horizontu i hodnotu firmy.</w:t>
      </w:r>
      <w:r w:rsidRPr="00031C90">
        <w:rPr>
          <w:rStyle w:val="Siln"/>
          <w:i/>
          <w:sz w:val="24"/>
          <w:szCs w:val="24"/>
        </w:rPr>
        <w:t xml:space="preserve"> </w:t>
      </w:r>
      <w:r w:rsidRPr="00712A68">
        <w:rPr>
          <w:i/>
          <w:sz w:val="24"/>
          <w:szCs w:val="24"/>
        </w:rPr>
        <w:t>Výhody optimalizovaného pracovního prostředí a uceleného řízení nemovitosti jsou měřitelné. Kromě snížení uhlíkové stopy lze dosáhnout až cca 20% úspory nákladů spojených s užíváním nemovitosti. Navíc se zvyšuje angažovanost zaměstnanců a udržení talentů je díky tomu snazší,“</w:t>
      </w:r>
      <w:r w:rsidRPr="00712A68">
        <w:rPr>
          <w:sz w:val="24"/>
          <w:szCs w:val="24"/>
        </w:rPr>
        <w:t xml:space="preserve"> komentuje </w:t>
      </w:r>
      <w:r w:rsidRPr="00712A68">
        <w:rPr>
          <w:b/>
          <w:sz w:val="24"/>
          <w:szCs w:val="24"/>
        </w:rPr>
        <w:t xml:space="preserve">Filip Muška, specialista na </w:t>
      </w:r>
      <w:proofErr w:type="spellStart"/>
      <w:r w:rsidRPr="00712A68">
        <w:rPr>
          <w:b/>
          <w:sz w:val="24"/>
          <w:szCs w:val="24"/>
        </w:rPr>
        <w:t>workplace</w:t>
      </w:r>
      <w:proofErr w:type="spellEnd"/>
      <w:r w:rsidRPr="00712A68">
        <w:rPr>
          <w:b/>
          <w:sz w:val="24"/>
          <w:szCs w:val="24"/>
        </w:rPr>
        <w:t xml:space="preserve"> v CBRE z oddělení Project management &amp; </w:t>
      </w:r>
      <w:proofErr w:type="spellStart"/>
      <w:r w:rsidRPr="00712A68">
        <w:rPr>
          <w:b/>
          <w:sz w:val="24"/>
          <w:szCs w:val="24"/>
        </w:rPr>
        <w:t>Building</w:t>
      </w:r>
      <w:proofErr w:type="spellEnd"/>
      <w:r w:rsidRPr="00712A68">
        <w:rPr>
          <w:b/>
          <w:sz w:val="24"/>
          <w:szCs w:val="24"/>
        </w:rPr>
        <w:t xml:space="preserve"> </w:t>
      </w:r>
      <w:proofErr w:type="spellStart"/>
      <w:r w:rsidRPr="00712A68">
        <w:rPr>
          <w:b/>
          <w:sz w:val="24"/>
          <w:szCs w:val="24"/>
        </w:rPr>
        <w:t>consultancy</w:t>
      </w:r>
      <w:proofErr w:type="spellEnd"/>
      <w:r w:rsidRPr="00712A68">
        <w:rPr>
          <w:b/>
          <w:sz w:val="24"/>
          <w:szCs w:val="24"/>
        </w:rPr>
        <w:t>.</w:t>
      </w:r>
    </w:p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7B5FB62" w14:textId="77777777" w:rsidR="00D5017C" w:rsidRDefault="00D5017C" w:rsidP="00D5017C">
      <w:pPr>
        <w:jc w:val="both"/>
        <w:rPr>
          <w:rFonts w:ascii="Calibri" w:eastAsia="Calibri" w:hAnsi="Calibri" w:cs="Calibri"/>
          <w:bCs/>
          <w:lang w:val="cs-CZ"/>
        </w:rPr>
      </w:pPr>
      <w:bookmarkStart w:id="0" w:name="_GoBack"/>
      <w:bookmarkEnd w:id="0"/>
    </w:p>
    <w:p w14:paraId="5B64D94A" w14:textId="6E3EBBC2" w:rsidR="009C6DFD" w:rsidRDefault="009C6DFD" w:rsidP="00D5017C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46F0DB73" w14:textId="77777777" w:rsidR="009C6DFD" w:rsidRPr="007510C6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proofErr w:type="spellStart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</w:t>
      </w:r>
      <w:proofErr w:type="spellEnd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 xml:space="preserve">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Manager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Default="00AC566F" w:rsidP="0074248D">
      <w:pPr>
        <w:jc w:val="both"/>
        <w:rPr>
          <w:rFonts w:ascii="Calibri" w:eastAsia="Calibri" w:hAnsi="Calibri" w:cs="Calibri"/>
          <w:bCs/>
          <w:lang w:val="cs-CZ"/>
        </w:rPr>
      </w:pPr>
    </w:p>
    <w:p w14:paraId="33760B0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</w:rPr>
        <w:t>CBRE</w:t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5291852C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Pavlína Musilová, Communications </w:t>
      </w:r>
      <w:proofErr w:type="spellStart"/>
      <w:r w:rsidRPr="00867D5F">
        <w:rPr>
          <w:rStyle w:val="normaltextrun"/>
          <w:rFonts w:ascii="Calibri" w:hAnsi="Calibri" w:cs="Segoe UI"/>
          <w:color w:val="000000"/>
        </w:rPr>
        <w:t>Manager</w:t>
      </w:r>
      <w:proofErr w:type="spellEnd"/>
      <w:r w:rsidRPr="00867D5F">
        <w:rPr>
          <w:rStyle w:val="normaltextrun"/>
          <w:rFonts w:ascii="Calibri" w:hAnsi="Calibri" w:cs="Segoe UI"/>
          <w:color w:val="000000"/>
        </w:rPr>
        <w:t>, +420 606 611 074, </w:t>
      </w:r>
      <w:hyperlink r:id="rId13" w:tgtFrame="_blank" w:history="1">
        <w:r w:rsidRPr="00867D5F">
          <w:rPr>
            <w:rStyle w:val="normaltextrun"/>
            <w:rFonts w:ascii="Calibri" w:hAnsi="Calibri" w:cs="Segoe UI"/>
            <w:color w:val="000000"/>
            <w:u w:val="single"/>
          </w:rPr>
          <w:t>pavlina.musilova1@cbre.com</w:t>
        </w:r>
      </w:hyperlink>
      <w:r w:rsidRPr="00867D5F">
        <w:rPr>
          <w:rStyle w:val="eop"/>
          <w:rFonts w:ascii="Calibri" w:hAnsi="Calibri" w:cs="Segoe UI"/>
          <w:color w:val="000000"/>
        </w:rPr>
        <w:t> </w:t>
      </w:r>
    </w:p>
    <w:p w14:paraId="33AED854" w14:textId="77777777" w:rsidR="00AC566F" w:rsidRPr="00867D5F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CBRE Czech Republic</w:t>
      </w:r>
      <w:r w:rsidRPr="00867D5F">
        <w:rPr>
          <w:rStyle w:val="normaltextrun"/>
          <w:rFonts w:ascii="Calibri" w:hAnsi="Calibri" w:cs="Segoe UI"/>
          <w:color w:val="1F497D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"https://www.facebook.com/pages/CBRE-News/626929170775263?ref=ts&amp;fref=ts"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Facebook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,</w:t>
      </w:r>
      <w:r w:rsidRPr="00AD577F">
        <w:rPr>
          <w:rStyle w:val="normaltextrun"/>
          <w:rFonts w:ascii="Calibri" w:hAnsi="Calibri" w:cs="Segoe UI"/>
          <w:color w:val="0000FF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Linkedin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00"/>
        </w:rPr>
        <w:t>,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"https://www.instagram.com/cbre_cz/"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Instagram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42CBEB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20DA0D8C" w:rsidR="00614452" w:rsidRDefault="00614452" w:rsidP="0074248D">
      <w:pPr>
        <w:jc w:val="both"/>
        <w:rPr>
          <w:rFonts w:ascii="Calibri" w:eastAsia="Calibri" w:hAnsi="Calibri" w:cs="Calibri"/>
          <w:bCs/>
          <w:lang w:val="cs-CZ"/>
        </w:rPr>
      </w:pP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A63EA" w14:textId="77777777" w:rsidR="00255911" w:rsidRDefault="00255911" w:rsidP="004818C2">
      <w:r>
        <w:separator/>
      </w:r>
    </w:p>
  </w:endnote>
  <w:endnote w:type="continuationSeparator" w:id="0">
    <w:p w14:paraId="540D9F75" w14:textId="77777777" w:rsidR="00255911" w:rsidRDefault="00255911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1AA72" w14:textId="77777777" w:rsidR="00255911" w:rsidRDefault="00255911" w:rsidP="004818C2">
      <w:r>
        <w:separator/>
      </w:r>
    </w:p>
  </w:footnote>
  <w:footnote w:type="continuationSeparator" w:id="0">
    <w:p w14:paraId="790128E6" w14:textId="77777777" w:rsidR="00255911" w:rsidRDefault="00255911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203F"/>
    <w:multiLevelType w:val="hybridMultilevel"/>
    <w:tmpl w:val="B23A0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33472"/>
    <w:rsid w:val="0024164E"/>
    <w:rsid w:val="002459CD"/>
    <w:rsid w:val="00250415"/>
    <w:rsid w:val="00255911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27C5F"/>
    <w:rsid w:val="00343701"/>
    <w:rsid w:val="00347BFC"/>
    <w:rsid w:val="003512FA"/>
    <w:rsid w:val="00357DFD"/>
    <w:rsid w:val="00357FA6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6C43"/>
    <w:rsid w:val="00637190"/>
    <w:rsid w:val="006400E6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5B73"/>
    <w:rsid w:val="0067166B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36C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D043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styleId="Siln">
    <w:name w:val="Strong"/>
    <w:basedOn w:val="Standardnpsmoodstavce"/>
    <w:uiPriority w:val="22"/>
    <w:qFormat/>
    <w:rsid w:val="00D0436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D043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0436C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730DFA-701A-491A-ABBC-FF083050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Kamila Čadková</cp:lastModifiedBy>
  <cp:revision>3</cp:revision>
  <cp:lastPrinted>2020-05-11T08:38:00Z</cp:lastPrinted>
  <dcterms:created xsi:type="dcterms:W3CDTF">2020-05-11T08:37:00Z</dcterms:created>
  <dcterms:modified xsi:type="dcterms:W3CDTF">2020-05-11T08:45:00Z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