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EA28A" w14:textId="77777777" w:rsidR="00702258" w:rsidRPr="00B6639E" w:rsidRDefault="01F7B98C" w:rsidP="245D6067">
      <w:pPr>
        <w:pStyle w:val="Podtitul"/>
        <w:jc w:val="right"/>
        <w:rPr>
          <w:rFonts w:ascii="Arial" w:hAnsi="Arial"/>
          <w:sz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6C708A52" wp14:editId="4E275FCB">
            <wp:extent cx="3019425" cy="762000"/>
            <wp:effectExtent l="0" t="0" r="9525" b="0"/>
            <wp:docPr id="1" name="Picture 1" descr="PR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3FBC" w14:textId="77777777" w:rsidR="00702258" w:rsidRPr="00B6639E" w:rsidRDefault="00702258" w:rsidP="00F80DED">
      <w:pPr>
        <w:rPr>
          <w:rFonts w:ascii="Arial" w:hAnsi="Arial" w:cs="Arial"/>
          <w:b/>
          <w:sz w:val="24"/>
          <w:szCs w:val="24"/>
          <w:lang w:val="cs-CZ"/>
        </w:rPr>
      </w:pPr>
      <w:r w:rsidRPr="00B6639E">
        <w:rPr>
          <w:rFonts w:ascii="Arial" w:hAnsi="Arial" w:cs="Arial"/>
          <w:b/>
          <w:noProof/>
          <w:sz w:val="24"/>
          <w:szCs w:val="24"/>
          <w:lang w:val="cs-CZ"/>
        </w:rPr>
        <w:t>Tisková zpráva</w:t>
      </w:r>
    </w:p>
    <w:p w14:paraId="20C06BFF" w14:textId="77777777" w:rsidR="00702258" w:rsidRPr="00B6639E" w:rsidRDefault="00702258" w:rsidP="00F80DED">
      <w:pPr>
        <w:jc w:val="both"/>
        <w:rPr>
          <w:rFonts w:ascii="Arial" w:hAnsi="Arial" w:cs="Arial"/>
          <w:noProof/>
          <w:sz w:val="10"/>
          <w:szCs w:val="10"/>
          <w:lang w:val="cs-CZ"/>
        </w:rPr>
      </w:pPr>
    </w:p>
    <w:p w14:paraId="484BB356" w14:textId="490F09B7" w:rsidR="001C2214" w:rsidRPr="00B6639E" w:rsidRDefault="001C2214" w:rsidP="001C2214">
      <w:pPr>
        <w:spacing w:line="276" w:lineRule="auto"/>
        <w:jc w:val="both"/>
        <w:rPr>
          <w:rFonts w:ascii="Arial" w:hAnsi="Arial" w:cs="Arial"/>
          <w:lang w:val="cs-CZ"/>
        </w:rPr>
      </w:pPr>
      <w:r w:rsidRPr="245D6067">
        <w:rPr>
          <w:rFonts w:ascii="Arial" w:hAnsi="Arial" w:cs="Arial"/>
          <w:lang w:val="cs-CZ"/>
        </w:rPr>
        <w:t xml:space="preserve">Praha </w:t>
      </w:r>
      <w:r w:rsidR="00B84173" w:rsidRPr="245D6067">
        <w:rPr>
          <w:rFonts w:ascii="Arial" w:hAnsi="Arial" w:cs="Arial"/>
          <w:lang w:val="cs-CZ"/>
        </w:rPr>
        <w:t>2</w:t>
      </w:r>
      <w:r w:rsidR="00EA69F5">
        <w:rPr>
          <w:rFonts w:ascii="Arial" w:hAnsi="Arial" w:cs="Arial"/>
          <w:lang w:val="cs-CZ"/>
        </w:rPr>
        <w:t>2</w:t>
      </w:r>
      <w:r w:rsidRPr="245D6067">
        <w:rPr>
          <w:rFonts w:ascii="Arial" w:hAnsi="Arial" w:cs="Arial"/>
          <w:lang w:val="cs-CZ"/>
        </w:rPr>
        <w:t xml:space="preserve">. </w:t>
      </w:r>
      <w:r w:rsidR="00EA69F5">
        <w:rPr>
          <w:rFonts w:ascii="Arial" w:hAnsi="Arial" w:cs="Arial"/>
          <w:lang w:val="cs-CZ"/>
        </w:rPr>
        <w:t>července</w:t>
      </w:r>
      <w:r w:rsidR="007B6CA2" w:rsidRPr="245D6067">
        <w:rPr>
          <w:rFonts w:ascii="Arial" w:hAnsi="Arial" w:cs="Arial"/>
          <w:lang w:val="cs-CZ"/>
        </w:rPr>
        <w:t xml:space="preserve"> </w:t>
      </w:r>
      <w:r w:rsidRPr="245D6067">
        <w:rPr>
          <w:rFonts w:ascii="Arial" w:hAnsi="Arial" w:cs="Arial"/>
          <w:lang w:val="cs-CZ"/>
        </w:rPr>
        <w:t>202</w:t>
      </w:r>
      <w:r w:rsidR="00F5504D" w:rsidRPr="245D6067">
        <w:rPr>
          <w:rFonts w:ascii="Arial" w:hAnsi="Arial" w:cs="Arial"/>
          <w:lang w:val="cs-CZ"/>
        </w:rPr>
        <w:t>1</w:t>
      </w:r>
    </w:p>
    <w:p w14:paraId="26B84B33" w14:textId="1CFAC916" w:rsidR="00702258" w:rsidRPr="00B6639E" w:rsidRDefault="00702258" w:rsidP="00437A82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14:paraId="364D89C4" w14:textId="323CA387" w:rsidR="00E256BF" w:rsidRPr="00B6639E" w:rsidRDefault="00826E57" w:rsidP="00E256BF">
      <w:pPr>
        <w:rPr>
          <w:rFonts w:ascii="Segoe UI" w:eastAsia="Times New Roman" w:hAnsi="Segoe UI" w:cs="Segoe UI"/>
          <w:b/>
          <w:bCs/>
          <w:sz w:val="24"/>
          <w:szCs w:val="24"/>
          <w:lang w:val="cs-CZ"/>
        </w:rPr>
      </w:pPr>
      <w:bookmarkStart w:id="0" w:name="_Hlk54174387"/>
      <w:r w:rsidRPr="00B6639E">
        <w:rPr>
          <w:rFonts w:ascii="Segoe UI" w:eastAsia="Times New Roman" w:hAnsi="Segoe UI" w:cs="Segoe UI"/>
          <w:b/>
          <w:bCs/>
          <w:sz w:val="24"/>
          <w:szCs w:val="24"/>
          <w:lang w:val="cs-CZ"/>
        </w:rPr>
        <w:t>Celková čistá realizovaná poptávka v</w:t>
      </w:r>
      <w:r w:rsidR="009C3517">
        <w:rPr>
          <w:rFonts w:ascii="Segoe UI" w:eastAsia="Times New Roman" w:hAnsi="Segoe UI" w:cs="Segoe UI"/>
          <w:b/>
          <w:bCs/>
          <w:sz w:val="24"/>
          <w:szCs w:val="24"/>
          <w:lang w:val="cs-CZ"/>
        </w:rPr>
        <w:t xml:space="preserve"> 2. čtvrtletí </w:t>
      </w:r>
      <w:r w:rsidRPr="00B6639E">
        <w:rPr>
          <w:rFonts w:ascii="Segoe UI" w:eastAsia="Times New Roman" w:hAnsi="Segoe UI" w:cs="Segoe UI"/>
          <w:b/>
          <w:bCs/>
          <w:sz w:val="24"/>
          <w:szCs w:val="24"/>
          <w:lang w:val="cs-CZ"/>
        </w:rPr>
        <w:t xml:space="preserve">meziročně </w:t>
      </w:r>
      <w:r w:rsidR="009C3517">
        <w:rPr>
          <w:rFonts w:ascii="Segoe UI" w:eastAsia="Times New Roman" w:hAnsi="Segoe UI" w:cs="Segoe UI"/>
          <w:b/>
          <w:bCs/>
          <w:sz w:val="24"/>
          <w:szCs w:val="24"/>
          <w:lang w:val="cs-CZ"/>
        </w:rPr>
        <w:t xml:space="preserve">vzrostla </w:t>
      </w:r>
      <w:r w:rsidRPr="00B6639E">
        <w:rPr>
          <w:rFonts w:ascii="Segoe UI" w:eastAsia="Times New Roman" w:hAnsi="Segoe UI" w:cs="Segoe UI"/>
          <w:b/>
          <w:bCs/>
          <w:sz w:val="24"/>
          <w:szCs w:val="24"/>
          <w:lang w:val="cs-CZ"/>
        </w:rPr>
        <w:t xml:space="preserve">o </w:t>
      </w:r>
      <w:r w:rsidR="009C3517">
        <w:rPr>
          <w:rFonts w:ascii="Segoe UI" w:eastAsia="Times New Roman" w:hAnsi="Segoe UI" w:cs="Segoe UI"/>
          <w:b/>
          <w:bCs/>
          <w:sz w:val="24"/>
          <w:szCs w:val="24"/>
          <w:lang w:val="cs-CZ"/>
        </w:rPr>
        <w:t xml:space="preserve">4 </w:t>
      </w:r>
      <w:r w:rsidRPr="00B6639E">
        <w:rPr>
          <w:rFonts w:ascii="Segoe UI" w:eastAsia="Times New Roman" w:hAnsi="Segoe UI" w:cs="Segoe UI"/>
          <w:b/>
          <w:bCs/>
          <w:sz w:val="24"/>
          <w:szCs w:val="24"/>
          <w:lang w:val="cs-CZ"/>
        </w:rPr>
        <w:t>%</w:t>
      </w:r>
    </w:p>
    <w:bookmarkEnd w:id="0"/>
    <w:p w14:paraId="48309326" w14:textId="77777777" w:rsidR="007E2043" w:rsidRPr="00B6639E" w:rsidRDefault="007E2043" w:rsidP="00437A82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0729B042" w14:textId="31D33223" w:rsidR="00702258" w:rsidRPr="00B6639E" w:rsidRDefault="00702258" w:rsidP="00BB2921">
      <w:pPr>
        <w:spacing w:line="276" w:lineRule="auto"/>
        <w:jc w:val="center"/>
        <w:outlineLvl w:val="0"/>
        <w:rPr>
          <w:rFonts w:ascii="Arial" w:hAnsi="Arial" w:cs="Arial"/>
          <w:bCs/>
          <w:i/>
          <w:iCs/>
          <w:lang w:val="cs-CZ"/>
        </w:rPr>
      </w:pPr>
      <w:r w:rsidRPr="00B6639E">
        <w:rPr>
          <w:rFonts w:ascii="Arial" w:hAnsi="Arial" w:cs="Arial"/>
          <w:bCs/>
          <w:i/>
          <w:iCs/>
          <w:lang w:val="cs-CZ"/>
        </w:rPr>
        <w:t xml:space="preserve">Prague </w:t>
      </w:r>
      <w:proofErr w:type="spellStart"/>
      <w:r w:rsidRPr="00B6639E">
        <w:rPr>
          <w:rFonts w:ascii="Arial" w:hAnsi="Arial" w:cs="Arial"/>
          <w:bCs/>
          <w:i/>
          <w:iCs/>
          <w:lang w:val="cs-CZ"/>
        </w:rPr>
        <w:t>Research</w:t>
      </w:r>
      <w:proofErr w:type="spellEnd"/>
      <w:r w:rsidRPr="00B6639E">
        <w:rPr>
          <w:rFonts w:ascii="Arial" w:hAnsi="Arial" w:cs="Arial"/>
          <w:bCs/>
          <w:i/>
          <w:iCs/>
          <w:lang w:val="cs-CZ"/>
        </w:rPr>
        <w:t xml:space="preserve"> </w:t>
      </w:r>
      <w:proofErr w:type="spellStart"/>
      <w:r w:rsidRPr="00B6639E">
        <w:rPr>
          <w:rFonts w:ascii="Arial" w:hAnsi="Arial" w:cs="Arial"/>
          <w:bCs/>
          <w:i/>
          <w:iCs/>
          <w:lang w:val="cs-CZ"/>
        </w:rPr>
        <w:t>Forum</w:t>
      </w:r>
      <w:proofErr w:type="spellEnd"/>
      <w:r w:rsidRPr="00B6639E">
        <w:rPr>
          <w:rFonts w:ascii="Arial" w:hAnsi="Arial" w:cs="Arial"/>
          <w:bCs/>
          <w:i/>
          <w:iCs/>
          <w:lang w:val="cs-CZ"/>
        </w:rPr>
        <w:t xml:space="preserve"> oznamu</w:t>
      </w:r>
      <w:r w:rsidR="00463B2D" w:rsidRPr="00B6639E">
        <w:rPr>
          <w:rFonts w:ascii="Arial" w:hAnsi="Arial" w:cs="Arial"/>
          <w:bCs/>
          <w:i/>
          <w:iCs/>
          <w:lang w:val="cs-CZ"/>
        </w:rPr>
        <w:t xml:space="preserve">je údaje o </w:t>
      </w:r>
      <w:r w:rsidR="00B84173" w:rsidRPr="00B6639E">
        <w:rPr>
          <w:rFonts w:ascii="Arial" w:hAnsi="Arial" w:cs="Arial"/>
          <w:bCs/>
          <w:i/>
          <w:iCs/>
          <w:lang w:val="cs-CZ"/>
        </w:rPr>
        <w:t>kancelářském trhu v Praze</w:t>
      </w:r>
      <w:r w:rsidRPr="00B6639E">
        <w:rPr>
          <w:rFonts w:ascii="Arial" w:hAnsi="Arial" w:cs="Arial"/>
          <w:bCs/>
          <w:i/>
          <w:iCs/>
          <w:lang w:val="cs-CZ"/>
        </w:rPr>
        <w:t xml:space="preserve"> za </w:t>
      </w:r>
      <w:r w:rsidR="009C3517">
        <w:rPr>
          <w:rFonts w:ascii="Arial" w:hAnsi="Arial" w:cs="Arial"/>
          <w:bCs/>
          <w:i/>
          <w:iCs/>
          <w:lang w:val="cs-CZ"/>
        </w:rPr>
        <w:t>2</w:t>
      </w:r>
      <w:r w:rsidRPr="00B6639E">
        <w:rPr>
          <w:rFonts w:ascii="Arial" w:hAnsi="Arial" w:cs="Arial"/>
          <w:bCs/>
          <w:i/>
          <w:iCs/>
          <w:lang w:val="cs-CZ"/>
        </w:rPr>
        <w:t xml:space="preserve">. čtvrtletí roku </w:t>
      </w:r>
      <w:r w:rsidR="00B84173" w:rsidRPr="00B6639E">
        <w:rPr>
          <w:rFonts w:ascii="Arial" w:hAnsi="Arial" w:cs="Arial"/>
          <w:bCs/>
          <w:i/>
          <w:iCs/>
          <w:lang w:val="cs-CZ"/>
        </w:rPr>
        <w:t>2021</w:t>
      </w:r>
    </w:p>
    <w:p w14:paraId="73E2884F" w14:textId="54942A38" w:rsidR="00BB2921" w:rsidRPr="00B6639E" w:rsidRDefault="00BB2921" w:rsidP="00437A82">
      <w:pPr>
        <w:spacing w:line="276" w:lineRule="auto"/>
        <w:jc w:val="both"/>
        <w:outlineLvl w:val="0"/>
        <w:rPr>
          <w:rFonts w:ascii="Arial" w:hAnsi="Arial" w:cs="Arial"/>
          <w:b/>
          <w:lang w:val="cs-CZ"/>
        </w:rPr>
      </w:pPr>
    </w:p>
    <w:p w14:paraId="095044E4" w14:textId="0EE7C8F7" w:rsidR="009C3517" w:rsidRDefault="009C3517" w:rsidP="00BE49E1">
      <w:pPr>
        <w:pStyle w:val="paragraph"/>
        <w:numPr>
          <w:ilvl w:val="0"/>
          <w:numId w:val="9"/>
        </w:numPr>
        <w:spacing w:before="0" w:beforeAutospacing="0" w:after="0" w:afterAutospacing="0"/>
        <w:ind w:left="709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Ve 2. čtvrtletí na trhu převažovaly nové pronájmy ve stávajících prostorech</w:t>
      </w:r>
    </w:p>
    <w:p w14:paraId="54B09D88" w14:textId="075C34CD" w:rsidR="00826E57" w:rsidRPr="00B6639E" w:rsidRDefault="00826E57" w:rsidP="00BE49E1">
      <w:pPr>
        <w:pStyle w:val="paragraph"/>
        <w:numPr>
          <w:ilvl w:val="0"/>
          <w:numId w:val="9"/>
        </w:numPr>
        <w:spacing w:before="0" w:beforeAutospacing="0" w:after="0" w:afterAutospacing="0"/>
        <w:ind w:left="709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Míra neobsazenosti </w:t>
      </w:r>
      <w:r w:rsidR="009C3517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mírně </w:t>
      </w:r>
      <w:r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vzrostla na 7,</w:t>
      </w:r>
      <w:r w:rsidR="009C3517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8</w:t>
      </w:r>
      <w:r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%</w:t>
      </w:r>
    </w:p>
    <w:p w14:paraId="6F08A659" w14:textId="7459B08A" w:rsidR="00826E57" w:rsidRPr="00B6639E" w:rsidRDefault="00826E57" w:rsidP="4CE87FAD">
      <w:pPr>
        <w:pStyle w:val="paragraph"/>
        <w:numPr>
          <w:ilvl w:val="0"/>
          <w:numId w:val="9"/>
        </w:numPr>
        <w:spacing w:before="0" w:beforeAutospacing="0" w:after="0" w:afterAutospacing="0"/>
        <w:ind w:left="709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4CE87FAD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Celková plocha kanceláří nabízených k okamžitému podnájmu se </w:t>
      </w:r>
      <w:proofErr w:type="spellStart"/>
      <w:r w:rsidRPr="4CE87FAD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mezikvartálně</w:t>
      </w:r>
      <w:proofErr w:type="spellEnd"/>
      <w:r w:rsidRPr="4CE87FAD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9C3517" w:rsidRPr="4CE87FAD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snížila o 14 %</w:t>
      </w:r>
    </w:p>
    <w:p w14:paraId="2B4D2D29" w14:textId="3A84D940" w:rsidR="526DBE27" w:rsidRDefault="526DBE27" w:rsidP="4CE87FAD">
      <w:pPr>
        <w:pStyle w:val="paragraph"/>
        <w:numPr>
          <w:ilvl w:val="0"/>
          <w:numId w:val="9"/>
        </w:numPr>
        <w:spacing w:before="0" w:beforeAutospacing="0" w:after="0" w:afterAutospacing="0"/>
        <w:ind w:left="709" w:hanging="567"/>
        <w:jc w:val="both"/>
        <w:rPr>
          <w:rStyle w:val="normaltextrun"/>
          <w:b/>
          <w:bCs/>
          <w:sz w:val="21"/>
          <w:szCs w:val="21"/>
          <w:lang w:val="cs-CZ"/>
        </w:rPr>
      </w:pPr>
      <w:r w:rsidRPr="4CE87FAD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Čistá absorpce byla ve 2. čtvrtletí pozitivní a dosáhla výše 38 100 m</w:t>
      </w:r>
      <w:r w:rsidRPr="4CE87FAD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</w:p>
    <w:p w14:paraId="0ED08E72" w14:textId="1E93A9F0" w:rsidR="00F5504D" w:rsidRPr="00B6639E" w:rsidRDefault="00F5504D" w:rsidP="00F5504D">
      <w:pPr>
        <w:pStyle w:val="paragraph"/>
        <w:numPr>
          <w:ilvl w:val="0"/>
          <w:numId w:val="9"/>
        </w:numPr>
        <w:spacing w:before="0" w:beforeAutospacing="0" w:after="0" w:afterAutospacing="0"/>
        <w:ind w:left="709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Plánovaný objem dokončených kanceláří v roce 2021 </w:t>
      </w:r>
      <w:r w:rsidR="00826E57"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bude nejnižší od roku 2016</w:t>
      </w:r>
    </w:p>
    <w:p w14:paraId="12AF0F9D" w14:textId="6D155E01" w:rsidR="00F5504D" w:rsidRPr="00B6639E" w:rsidRDefault="00F5504D" w:rsidP="00F5504D">
      <w:pPr>
        <w:pStyle w:val="paragraph"/>
        <w:numPr>
          <w:ilvl w:val="0"/>
          <w:numId w:val="9"/>
        </w:numPr>
        <w:spacing w:before="0" w:beforeAutospacing="0" w:after="0" w:afterAutospacing="0"/>
        <w:ind w:left="709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Během </w:t>
      </w:r>
      <w:r w:rsidR="009C3517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2</w:t>
      </w:r>
      <w:r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. čtvrtletí</w:t>
      </w:r>
      <w:r w:rsidR="00B6639E"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9C3517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nebyla zahájena výstavba žádného kancelářského objektu</w:t>
      </w:r>
    </w:p>
    <w:p w14:paraId="1731F0F6" w14:textId="1DD458DB" w:rsidR="00F5504D" w:rsidRPr="00B6639E" w:rsidRDefault="00F5504D" w:rsidP="00F5504D">
      <w:pPr>
        <w:pStyle w:val="paragraph"/>
        <w:numPr>
          <w:ilvl w:val="0"/>
          <w:numId w:val="9"/>
        </w:numPr>
        <w:spacing w:before="0" w:beforeAutospacing="0" w:after="0" w:afterAutospacing="0"/>
        <w:ind w:left="709" w:hanging="567"/>
        <w:jc w:val="both"/>
        <w:textAlignment w:val="baseline"/>
        <w:rPr>
          <w:rFonts w:ascii="Arial" w:hAnsi="Arial" w:cs="Arial"/>
          <w:b/>
          <w:bCs/>
          <w:sz w:val="21"/>
          <w:szCs w:val="21"/>
          <w:lang w:val="cs-CZ"/>
        </w:rPr>
      </w:pPr>
      <w:r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Nejvyšší dosažitelné nájemné </w:t>
      </w:r>
      <w:r w:rsidR="00B6639E"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zůstává stabilní</w:t>
      </w:r>
      <w:r w:rsidR="007770F4"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v rozmezí od 22</w:t>
      </w:r>
      <w:r w:rsidR="00B6639E"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,00</w:t>
      </w:r>
      <w:r w:rsidR="007770F4"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do </w:t>
      </w:r>
      <w:r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22,50 eur za metr čtvereční</w:t>
      </w:r>
      <w:r w:rsidR="00B6639E" w:rsidRPr="00B663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a měsíc</w:t>
      </w:r>
    </w:p>
    <w:p w14:paraId="5324995C" w14:textId="77777777" w:rsidR="00BB2921" w:rsidRPr="00B6639E" w:rsidRDefault="00BB2921" w:rsidP="00437A8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4E3271F0" w14:textId="77777777" w:rsidR="00437AF0" w:rsidRPr="00B6639E" w:rsidRDefault="00437AF0" w:rsidP="00F5539A">
      <w:pPr>
        <w:pStyle w:val="Nadpis1"/>
        <w:rPr>
          <w:lang w:val="cs-CZ"/>
        </w:rPr>
        <w:sectPr w:rsidR="00437AF0" w:rsidRPr="00B6639E" w:rsidSect="000B3EA7">
          <w:footerReference w:type="default" r:id="rId12"/>
          <w:headerReference w:type="first" r:id="rId13"/>
          <w:footerReference w:type="first" r:id="rId14"/>
          <w:pgSz w:w="11906" w:h="16838"/>
          <w:pgMar w:top="720" w:right="746" w:bottom="720" w:left="720" w:header="706" w:footer="224" w:gutter="0"/>
          <w:cols w:space="708"/>
          <w:docGrid w:linePitch="360"/>
        </w:sectPr>
      </w:pPr>
    </w:p>
    <w:p w14:paraId="03683ED1" w14:textId="74DC9AFA" w:rsidR="00702258" w:rsidRPr="00B6639E" w:rsidRDefault="001D1E11" w:rsidP="00395E8D">
      <w:pPr>
        <w:pStyle w:val="Nadpis1"/>
        <w:spacing w:before="0"/>
        <w:rPr>
          <w:lang w:val="cs-CZ"/>
        </w:rPr>
      </w:pPr>
      <w:r w:rsidRPr="00B6639E">
        <w:rPr>
          <w:lang w:val="cs-CZ"/>
        </w:rPr>
        <w:t>Ú</w:t>
      </w:r>
      <w:r w:rsidR="00702258" w:rsidRPr="00B6639E">
        <w:rPr>
          <w:lang w:val="cs-CZ"/>
        </w:rPr>
        <w:t>vod</w:t>
      </w:r>
    </w:p>
    <w:p w14:paraId="150F17BA" w14:textId="13F40CF5" w:rsidR="001C2214" w:rsidRPr="00B6639E" w:rsidRDefault="001C2214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 xml:space="preserve">Prague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Research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Forum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(PRF) zveřej</w:t>
      </w:r>
      <w:r w:rsidR="002F3D52" w:rsidRPr="00B6639E">
        <w:rPr>
          <w:rFonts w:ascii="Arial" w:hAnsi="Arial" w:cs="Arial"/>
          <w:sz w:val="18"/>
          <w:szCs w:val="18"/>
          <w:lang w:val="cs-CZ"/>
        </w:rPr>
        <w:t>ňuje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údaje o trhu s kancelářskými prostory za </w:t>
      </w:r>
      <w:r w:rsidR="009C3517">
        <w:rPr>
          <w:rFonts w:ascii="Arial" w:hAnsi="Arial" w:cs="Arial"/>
          <w:sz w:val="18"/>
          <w:szCs w:val="18"/>
          <w:lang w:val="cs-CZ"/>
        </w:rPr>
        <w:t>2</w:t>
      </w:r>
      <w:r w:rsidR="00B67BCA" w:rsidRPr="00B6639E">
        <w:rPr>
          <w:rFonts w:ascii="Arial" w:hAnsi="Arial" w:cs="Arial"/>
          <w:sz w:val="18"/>
          <w:szCs w:val="18"/>
          <w:lang w:val="cs-CZ"/>
        </w:rPr>
        <w:t>.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čtvrtletí roku </w:t>
      </w:r>
      <w:r w:rsidR="00B84173" w:rsidRPr="00B6639E">
        <w:rPr>
          <w:rFonts w:ascii="Arial" w:hAnsi="Arial" w:cs="Arial"/>
          <w:sz w:val="18"/>
          <w:szCs w:val="18"/>
          <w:lang w:val="cs-CZ"/>
        </w:rPr>
        <w:t>2021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. </w:t>
      </w:r>
      <w:r w:rsidR="004A2ACF">
        <w:rPr>
          <w:rFonts w:ascii="Arial" w:hAnsi="Arial" w:cs="Arial"/>
          <w:sz w:val="18"/>
          <w:szCs w:val="18"/>
          <w:lang w:val="cs-CZ"/>
        </w:rPr>
        <w:t>Č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leny PRF jsou společnosti CBRE,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Colliers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International,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Cushman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&amp;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Wakefield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, JLL a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Knight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Frank, které sdílejí základní informace o kancelářském trhu v</w:t>
      </w:r>
      <w:r w:rsidR="004A2ACF">
        <w:rPr>
          <w:rFonts w:ascii="Arial" w:hAnsi="Arial" w:cs="Arial"/>
          <w:sz w:val="18"/>
          <w:szCs w:val="18"/>
          <w:lang w:val="cs-CZ"/>
        </w:rPr>
        <w:t> </w:t>
      </w:r>
      <w:r w:rsidRPr="00B6639E">
        <w:rPr>
          <w:rFonts w:ascii="Arial" w:hAnsi="Arial" w:cs="Arial"/>
          <w:sz w:val="18"/>
          <w:szCs w:val="18"/>
          <w:lang w:val="cs-CZ"/>
        </w:rPr>
        <w:t>Praze za účelem poskytování co možná nejúplnějších, nejpřesnějších a nejtransparentnějších dat o jeho vývoji.</w:t>
      </w:r>
    </w:p>
    <w:p w14:paraId="4E9AB418" w14:textId="1BE97E23" w:rsidR="00271919" w:rsidRPr="00B6639E" w:rsidRDefault="004A2ACF" w:rsidP="00F5539A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Č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innost Prague </w:t>
      </w:r>
      <w:proofErr w:type="spellStart"/>
      <w:r w:rsidR="001C2214" w:rsidRPr="00B6639E">
        <w:rPr>
          <w:rFonts w:ascii="Arial" w:hAnsi="Arial" w:cs="Arial"/>
          <w:sz w:val="18"/>
          <w:szCs w:val="18"/>
          <w:lang w:val="cs-CZ"/>
        </w:rPr>
        <w:t>Research</w:t>
      </w:r>
      <w:proofErr w:type="spellEnd"/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1C2214" w:rsidRPr="00B6639E">
        <w:rPr>
          <w:rFonts w:ascii="Arial" w:hAnsi="Arial" w:cs="Arial"/>
          <w:sz w:val="18"/>
          <w:szCs w:val="18"/>
          <w:lang w:val="cs-CZ"/>
        </w:rPr>
        <w:t>Fora</w:t>
      </w:r>
      <w:proofErr w:type="spellEnd"/>
      <w:r w:rsidR="002F3D52" w:rsidRPr="00B6639E">
        <w:rPr>
          <w:rFonts w:ascii="Arial" w:hAnsi="Arial" w:cs="Arial"/>
          <w:sz w:val="18"/>
          <w:szCs w:val="18"/>
          <w:lang w:val="cs-CZ"/>
        </w:rPr>
        <w:t xml:space="preserve"> podporuje instituce RICS. </w:t>
      </w:r>
    </w:p>
    <w:p w14:paraId="373F15FF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t>Nabídka kancelářských budov</w:t>
      </w:r>
    </w:p>
    <w:p w14:paraId="6348B10C" w14:textId="02BBB3E7" w:rsidR="00F06195" w:rsidRPr="000101B5" w:rsidRDefault="001C2214" w:rsidP="2DAED052">
      <w:pPr>
        <w:spacing w:after="120"/>
        <w:jc w:val="both"/>
        <w:rPr>
          <w:rFonts w:ascii="Arial" w:hAnsi="Arial" w:cs="Arial"/>
          <w:sz w:val="18"/>
          <w:szCs w:val="18"/>
        </w:rPr>
      </w:pPr>
      <w:r w:rsidRPr="2DAED052">
        <w:rPr>
          <w:rFonts w:ascii="Arial" w:hAnsi="Arial" w:cs="Arial"/>
          <w:sz w:val="18"/>
          <w:szCs w:val="18"/>
          <w:lang w:val="cs-CZ"/>
        </w:rPr>
        <w:t xml:space="preserve">V Praze bylo během </w:t>
      </w:r>
      <w:r w:rsidR="009C3517">
        <w:rPr>
          <w:rFonts w:ascii="Arial" w:hAnsi="Arial" w:cs="Arial"/>
          <w:sz w:val="18"/>
          <w:szCs w:val="18"/>
          <w:lang w:val="cs-CZ"/>
        </w:rPr>
        <w:t xml:space="preserve">druhého 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čtvrtletí roku </w:t>
      </w:r>
      <w:r w:rsidR="00544DE4" w:rsidRPr="2DAED052">
        <w:rPr>
          <w:rFonts w:ascii="Arial" w:hAnsi="Arial" w:cs="Arial"/>
          <w:sz w:val="18"/>
          <w:szCs w:val="18"/>
          <w:lang w:val="cs-CZ"/>
        </w:rPr>
        <w:t>2021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 dokončeno celkem </w:t>
      </w:r>
      <w:r w:rsidR="009C3517">
        <w:rPr>
          <w:rFonts w:ascii="Arial" w:hAnsi="Arial" w:cs="Arial"/>
          <w:sz w:val="18"/>
          <w:szCs w:val="18"/>
          <w:lang w:val="cs-CZ"/>
        </w:rPr>
        <w:t>49 500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 m</w:t>
      </w:r>
      <w:r w:rsidRPr="2DAED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 kancelářských plo</w:t>
      </w:r>
      <w:r w:rsidR="00544DE4" w:rsidRPr="2DAED052">
        <w:rPr>
          <w:rFonts w:ascii="Arial" w:hAnsi="Arial" w:cs="Arial"/>
          <w:sz w:val="18"/>
          <w:szCs w:val="18"/>
          <w:lang w:val="cs-CZ"/>
        </w:rPr>
        <w:t>ch</w:t>
      </w:r>
      <w:r w:rsidR="00826E57" w:rsidRPr="2DAED052">
        <w:rPr>
          <w:rFonts w:ascii="Arial" w:hAnsi="Arial" w:cs="Arial"/>
          <w:sz w:val="18"/>
          <w:szCs w:val="18"/>
          <w:lang w:val="cs-CZ"/>
        </w:rPr>
        <w:t xml:space="preserve">. </w:t>
      </w:r>
      <w:r w:rsidR="00544DE4" w:rsidRPr="2DAED052">
        <w:rPr>
          <w:rFonts w:ascii="Arial" w:hAnsi="Arial" w:cs="Arial"/>
          <w:sz w:val="18"/>
          <w:szCs w:val="18"/>
          <w:lang w:val="cs-CZ"/>
        </w:rPr>
        <w:t xml:space="preserve">Nově dokončené prostory zahrnují </w:t>
      </w:r>
      <w:r w:rsidR="000101B5">
        <w:rPr>
          <w:rFonts w:ascii="Arial" w:hAnsi="Arial" w:cs="Arial"/>
          <w:sz w:val="18"/>
          <w:szCs w:val="18"/>
          <w:lang w:val="cs-CZ"/>
        </w:rPr>
        <w:t xml:space="preserve">čtyři nově postavené </w:t>
      </w:r>
      <w:r w:rsidR="00544DE4" w:rsidRPr="2DAED052">
        <w:rPr>
          <w:rFonts w:ascii="Arial" w:hAnsi="Arial" w:cs="Arial"/>
          <w:sz w:val="18"/>
          <w:szCs w:val="18"/>
          <w:lang w:val="cs-CZ"/>
        </w:rPr>
        <w:t xml:space="preserve">projekty – </w:t>
      </w:r>
      <w:r w:rsidR="000101B5">
        <w:rPr>
          <w:rFonts w:ascii="Arial" w:hAnsi="Arial" w:cs="Arial"/>
          <w:sz w:val="18"/>
          <w:szCs w:val="18"/>
          <w:lang w:val="cs-CZ"/>
        </w:rPr>
        <w:t>Bořislavka s 25 400</w:t>
      </w:r>
      <w:r w:rsidR="00544DE4" w:rsidRPr="2DAED052">
        <w:rPr>
          <w:rFonts w:ascii="Arial" w:hAnsi="Arial" w:cs="Arial"/>
          <w:sz w:val="18"/>
          <w:szCs w:val="18"/>
          <w:lang w:val="cs-CZ"/>
        </w:rPr>
        <w:t xml:space="preserve"> m</w:t>
      </w:r>
      <w:r w:rsidR="00544DE4" w:rsidRPr="2DAED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544DE4" w:rsidRPr="2DAED052">
        <w:rPr>
          <w:rFonts w:ascii="Arial" w:hAnsi="Arial" w:cs="Arial"/>
          <w:sz w:val="18"/>
          <w:szCs w:val="18"/>
          <w:lang w:val="cs-CZ"/>
        </w:rPr>
        <w:t xml:space="preserve"> v Praze </w:t>
      </w:r>
      <w:r w:rsidR="000101B5">
        <w:rPr>
          <w:rFonts w:ascii="Arial" w:hAnsi="Arial" w:cs="Arial"/>
          <w:sz w:val="18"/>
          <w:szCs w:val="18"/>
          <w:lang w:val="cs-CZ"/>
        </w:rPr>
        <w:t xml:space="preserve">6, Astrid </w:t>
      </w:r>
      <w:proofErr w:type="spellStart"/>
      <w:r w:rsidR="000101B5">
        <w:rPr>
          <w:rFonts w:ascii="Arial" w:hAnsi="Arial" w:cs="Arial"/>
          <w:sz w:val="18"/>
          <w:szCs w:val="18"/>
          <w:lang w:val="cs-CZ"/>
        </w:rPr>
        <w:t>Offices</w:t>
      </w:r>
      <w:proofErr w:type="spellEnd"/>
      <w:r w:rsidR="000101B5">
        <w:rPr>
          <w:rFonts w:ascii="Arial" w:hAnsi="Arial" w:cs="Arial"/>
          <w:sz w:val="18"/>
          <w:szCs w:val="18"/>
          <w:lang w:val="cs-CZ"/>
        </w:rPr>
        <w:t xml:space="preserve"> s 3 500 </w:t>
      </w:r>
      <w:r w:rsidR="000101B5" w:rsidRPr="2DAED052">
        <w:rPr>
          <w:rFonts w:ascii="Arial" w:hAnsi="Arial" w:cs="Arial"/>
          <w:sz w:val="18"/>
          <w:szCs w:val="18"/>
          <w:lang w:val="cs-CZ"/>
        </w:rPr>
        <w:t>m</w:t>
      </w:r>
      <w:r w:rsidR="000101B5" w:rsidRPr="2DAED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0101B5">
        <w:rPr>
          <w:rFonts w:ascii="Arial" w:hAnsi="Arial" w:cs="Arial"/>
          <w:sz w:val="18"/>
          <w:szCs w:val="18"/>
          <w:lang w:val="cs-CZ"/>
        </w:rPr>
        <w:t xml:space="preserve"> v Praze 7 a </w:t>
      </w:r>
      <w:r w:rsidR="000101B5">
        <w:rPr>
          <w:rFonts w:ascii="Arial" w:hAnsi="Arial" w:cs="Arial"/>
          <w:sz w:val="18"/>
          <w:szCs w:val="18"/>
        </w:rPr>
        <w:t xml:space="preserve">Mississippi House s 13 300 </w:t>
      </w:r>
      <w:r w:rsidR="000101B5" w:rsidRPr="2DAED052">
        <w:rPr>
          <w:rFonts w:ascii="Arial" w:hAnsi="Arial" w:cs="Arial"/>
          <w:sz w:val="18"/>
          <w:szCs w:val="18"/>
          <w:lang w:val="cs-CZ"/>
        </w:rPr>
        <w:t>m</w:t>
      </w:r>
      <w:r w:rsidR="000101B5" w:rsidRPr="2DAED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0101B5">
        <w:rPr>
          <w:rFonts w:ascii="Arial" w:hAnsi="Arial" w:cs="Arial"/>
          <w:sz w:val="18"/>
          <w:szCs w:val="18"/>
        </w:rPr>
        <w:t xml:space="preserve"> a Missouri Park se 7 300 </w:t>
      </w:r>
      <w:r w:rsidR="000101B5" w:rsidRPr="2DAED052">
        <w:rPr>
          <w:rFonts w:ascii="Arial" w:hAnsi="Arial" w:cs="Arial"/>
          <w:sz w:val="18"/>
          <w:szCs w:val="18"/>
          <w:lang w:val="cs-CZ"/>
        </w:rPr>
        <w:t>m</w:t>
      </w:r>
      <w:r w:rsidR="000101B5" w:rsidRPr="2DAED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0101B5">
        <w:rPr>
          <w:rFonts w:ascii="Arial" w:hAnsi="Arial" w:cs="Arial"/>
          <w:sz w:val="18"/>
          <w:szCs w:val="18"/>
        </w:rPr>
        <w:t xml:space="preserve"> v </w:t>
      </w:r>
      <w:proofErr w:type="spellStart"/>
      <w:r w:rsidR="000101B5">
        <w:rPr>
          <w:rFonts w:ascii="Arial" w:hAnsi="Arial" w:cs="Arial"/>
          <w:sz w:val="18"/>
          <w:szCs w:val="18"/>
        </w:rPr>
        <w:t>Praze</w:t>
      </w:r>
      <w:proofErr w:type="spellEnd"/>
      <w:r w:rsidR="000101B5">
        <w:rPr>
          <w:rFonts w:ascii="Arial" w:hAnsi="Arial" w:cs="Arial"/>
          <w:sz w:val="18"/>
          <w:szCs w:val="18"/>
        </w:rPr>
        <w:t xml:space="preserve"> 8.</w:t>
      </w:r>
    </w:p>
    <w:p w14:paraId="362F599D" w14:textId="266F2E15" w:rsidR="00F06195" w:rsidRPr="00B6639E" w:rsidRDefault="007A684F" w:rsidP="2DAED052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2DAED052">
        <w:rPr>
          <w:rFonts w:ascii="Arial" w:hAnsi="Arial" w:cs="Arial"/>
          <w:sz w:val="18"/>
          <w:szCs w:val="18"/>
          <w:lang w:val="cs-CZ"/>
        </w:rPr>
        <w:t xml:space="preserve">Kancelářská plocha v projektech v aktivní fázi výstavby čítá </w:t>
      </w:r>
      <w:r w:rsidR="000101B5">
        <w:rPr>
          <w:rFonts w:ascii="Arial" w:hAnsi="Arial" w:cs="Arial"/>
          <w:sz w:val="18"/>
          <w:szCs w:val="18"/>
          <w:lang w:val="cs-CZ"/>
        </w:rPr>
        <w:t>147 300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 m</w:t>
      </w:r>
      <w:r w:rsidRPr="2DAED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F06195" w:rsidRPr="2DAED052">
        <w:rPr>
          <w:rFonts w:ascii="Arial" w:hAnsi="Arial" w:cs="Arial"/>
          <w:sz w:val="18"/>
          <w:szCs w:val="18"/>
          <w:lang w:val="cs-CZ"/>
        </w:rPr>
        <w:t>,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 z toho přibližně </w:t>
      </w:r>
      <w:r w:rsidR="000101B5">
        <w:rPr>
          <w:rFonts w:ascii="Arial" w:hAnsi="Arial" w:cs="Arial"/>
          <w:sz w:val="18"/>
          <w:szCs w:val="18"/>
          <w:lang w:val="cs-CZ"/>
        </w:rPr>
        <w:t>14 600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 m</w:t>
      </w:r>
      <w:r w:rsidRPr="2DAED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 by mělo být na trh dodáno v</w:t>
      </w:r>
      <w:r w:rsidR="000101B5">
        <w:rPr>
          <w:rFonts w:ascii="Arial" w:hAnsi="Arial" w:cs="Arial"/>
          <w:sz w:val="18"/>
          <w:szCs w:val="18"/>
          <w:lang w:val="cs-CZ"/>
        </w:rPr>
        <w:t> druhé polovině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 roku 2021</w:t>
      </w:r>
      <w:r w:rsidR="00F06195" w:rsidRPr="2DAED052">
        <w:rPr>
          <w:rFonts w:ascii="Arial" w:hAnsi="Arial" w:cs="Arial"/>
          <w:sz w:val="18"/>
          <w:szCs w:val="18"/>
          <w:lang w:val="cs-CZ"/>
        </w:rPr>
        <w:t xml:space="preserve"> a zbývajících 1</w:t>
      </w:r>
      <w:r w:rsidR="000101B5">
        <w:rPr>
          <w:rFonts w:ascii="Arial" w:hAnsi="Arial" w:cs="Arial"/>
          <w:sz w:val="18"/>
          <w:szCs w:val="18"/>
          <w:lang w:val="cs-CZ"/>
        </w:rPr>
        <w:t>32 700</w:t>
      </w:r>
      <w:r w:rsidR="00F06195" w:rsidRPr="2DAED052">
        <w:rPr>
          <w:rFonts w:ascii="Arial" w:hAnsi="Arial" w:cs="Arial"/>
          <w:sz w:val="18"/>
          <w:szCs w:val="18"/>
          <w:lang w:val="cs-CZ"/>
        </w:rPr>
        <w:t xml:space="preserve"> m</w:t>
      </w:r>
      <w:r w:rsidR="00F06195" w:rsidRPr="2DAED052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F06195" w:rsidRPr="2DAED052">
        <w:rPr>
          <w:rFonts w:ascii="Arial" w:hAnsi="Arial" w:cs="Arial"/>
          <w:sz w:val="18"/>
          <w:szCs w:val="18"/>
          <w:lang w:val="cs-CZ"/>
        </w:rPr>
        <w:t xml:space="preserve"> pak v letech 2022-2023.</w:t>
      </w:r>
      <w:r w:rsidRPr="2DAED052">
        <w:rPr>
          <w:rFonts w:ascii="Arial" w:hAnsi="Arial" w:cs="Arial"/>
          <w:sz w:val="18"/>
          <w:szCs w:val="18"/>
          <w:lang w:val="cs-CZ"/>
        </w:rPr>
        <w:t xml:space="preserve"> </w:t>
      </w:r>
      <w:r w:rsidR="00F06195" w:rsidRPr="2DAED052">
        <w:rPr>
          <w:rFonts w:ascii="Arial" w:hAnsi="Arial" w:cs="Arial"/>
          <w:sz w:val="18"/>
          <w:szCs w:val="18"/>
          <w:lang w:val="cs-CZ"/>
        </w:rPr>
        <w:t>Během</w:t>
      </w:r>
      <w:r w:rsidR="000101B5">
        <w:rPr>
          <w:rFonts w:ascii="Arial" w:hAnsi="Arial" w:cs="Arial"/>
          <w:sz w:val="18"/>
          <w:szCs w:val="18"/>
          <w:lang w:val="cs-CZ"/>
        </w:rPr>
        <w:t xml:space="preserve"> druhého</w:t>
      </w:r>
      <w:r w:rsidR="00F06195" w:rsidRPr="2DAED052">
        <w:rPr>
          <w:rFonts w:ascii="Arial" w:hAnsi="Arial" w:cs="Arial"/>
          <w:sz w:val="18"/>
          <w:szCs w:val="18"/>
          <w:lang w:val="cs-CZ"/>
        </w:rPr>
        <w:t xml:space="preserve"> čtvrtletí 2021 </w:t>
      </w:r>
      <w:r w:rsidR="000101B5">
        <w:rPr>
          <w:rFonts w:ascii="Arial" w:hAnsi="Arial" w:cs="Arial"/>
          <w:sz w:val="18"/>
          <w:szCs w:val="18"/>
          <w:lang w:val="cs-CZ"/>
        </w:rPr>
        <w:t>ne</w:t>
      </w:r>
      <w:r w:rsidR="00F06195" w:rsidRPr="2DAED052">
        <w:rPr>
          <w:rFonts w:ascii="Arial" w:hAnsi="Arial" w:cs="Arial"/>
          <w:sz w:val="18"/>
          <w:szCs w:val="18"/>
          <w:lang w:val="cs-CZ"/>
        </w:rPr>
        <w:t xml:space="preserve">byla zahájena výstavba </w:t>
      </w:r>
      <w:r w:rsidR="000101B5">
        <w:rPr>
          <w:rFonts w:ascii="Arial" w:hAnsi="Arial" w:cs="Arial"/>
          <w:sz w:val="18"/>
          <w:szCs w:val="18"/>
          <w:lang w:val="cs-CZ"/>
        </w:rPr>
        <w:t>žádného nového projektu ani rekonstrukce.</w:t>
      </w:r>
    </w:p>
    <w:p w14:paraId="6BD41D04" w14:textId="5F0787F1" w:rsidR="001C2214" w:rsidRPr="00B6639E" w:rsidRDefault="001C2214" w:rsidP="001C2214">
      <w:pPr>
        <w:spacing w:after="120"/>
        <w:jc w:val="both"/>
        <w:rPr>
          <w:rFonts w:ascii="Arial" w:hAnsi="Arial" w:cs="Arial"/>
          <w:bCs/>
          <w:sz w:val="18"/>
          <w:szCs w:val="18"/>
          <w:lang w:val="cs-CZ"/>
        </w:rPr>
      </w:pPr>
      <w:r w:rsidRPr="00B6639E">
        <w:rPr>
          <w:rFonts w:ascii="Arial" w:hAnsi="Arial" w:cs="Arial"/>
          <w:bCs/>
          <w:sz w:val="18"/>
          <w:szCs w:val="18"/>
          <w:lang w:val="cs-CZ"/>
        </w:rPr>
        <w:t>Budovy třídy A tvoří většinu nabídky moderních kanceláří (7</w:t>
      </w:r>
      <w:r w:rsidR="001A4EAE" w:rsidRPr="00B6639E">
        <w:rPr>
          <w:rFonts w:ascii="Arial" w:hAnsi="Arial" w:cs="Arial"/>
          <w:bCs/>
          <w:sz w:val="18"/>
          <w:szCs w:val="18"/>
          <w:lang w:val="cs-CZ"/>
        </w:rPr>
        <w:t>3</w:t>
      </w:r>
      <w:r w:rsidRPr="00B6639E">
        <w:rPr>
          <w:rFonts w:ascii="Arial" w:hAnsi="Arial" w:cs="Arial"/>
          <w:bCs/>
          <w:sz w:val="18"/>
          <w:szCs w:val="18"/>
          <w:lang w:val="cs-CZ"/>
        </w:rPr>
        <w:t xml:space="preserve"> %), přičemž podíl nejkvalitnějších prostor s hodnocením AAA v celkovém objemu kancelářských prostor dosahuje </w:t>
      </w:r>
      <w:r w:rsidR="001A4EAE" w:rsidRPr="00B6639E">
        <w:rPr>
          <w:rFonts w:ascii="Arial" w:hAnsi="Arial" w:cs="Arial"/>
          <w:bCs/>
          <w:sz w:val="18"/>
          <w:szCs w:val="18"/>
          <w:lang w:val="cs-CZ"/>
        </w:rPr>
        <w:t>více jak</w:t>
      </w:r>
      <w:r w:rsidRPr="00B6639E">
        <w:rPr>
          <w:rFonts w:ascii="Arial" w:hAnsi="Arial" w:cs="Arial"/>
          <w:bCs/>
          <w:sz w:val="18"/>
          <w:szCs w:val="18"/>
          <w:lang w:val="cs-CZ"/>
        </w:rPr>
        <w:t xml:space="preserve"> 1</w:t>
      </w:r>
      <w:r w:rsidR="000101B5">
        <w:rPr>
          <w:rFonts w:ascii="Arial" w:hAnsi="Arial" w:cs="Arial"/>
          <w:bCs/>
          <w:sz w:val="18"/>
          <w:szCs w:val="18"/>
          <w:lang w:val="cs-CZ"/>
        </w:rPr>
        <w:t>7</w:t>
      </w:r>
      <w:r w:rsidRPr="00B6639E">
        <w:rPr>
          <w:rFonts w:ascii="Arial" w:hAnsi="Arial" w:cs="Arial"/>
          <w:bCs/>
          <w:sz w:val="18"/>
          <w:szCs w:val="18"/>
          <w:lang w:val="cs-CZ"/>
        </w:rPr>
        <w:t> %.</w:t>
      </w:r>
    </w:p>
    <w:p w14:paraId="0189B273" w14:textId="7D0F9A26" w:rsidR="008F49AA" w:rsidRPr="00B6639E" w:rsidRDefault="00875B5C" w:rsidP="001C2214">
      <w:pPr>
        <w:spacing w:after="120"/>
        <w:jc w:val="both"/>
        <w:rPr>
          <w:rFonts w:ascii="Arial" w:hAnsi="Arial" w:cs="Arial"/>
          <w:sz w:val="18"/>
          <w:szCs w:val="18"/>
          <w:vertAlign w:val="superscript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Celkov</w:t>
      </w:r>
      <w:r w:rsidR="00A6052B" w:rsidRPr="00B6639E">
        <w:rPr>
          <w:rFonts w:ascii="Arial" w:hAnsi="Arial" w:cs="Arial"/>
          <w:sz w:val="18"/>
          <w:szCs w:val="18"/>
          <w:lang w:val="cs-CZ"/>
        </w:rPr>
        <w:t>á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r w:rsidR="00165050" w:rsidRPr="00B6639E">
        <w:rPr>
          <w:rFonts w:ascii="Arial" w:hAnsi="Arial" w:cs="Arial"/>
          <w:sz w:val="18"/>
          <w:szCs w:val="18"/>
          <w:lang w:val="cs-CZ"/>
        </w:rPr>
        <w:t>nabídka</w:t>
      </w:r>
      <w:r w:rsidR="00FE154C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r w:rsidR="005D5BB4" w:rsidRPr="00B6639E">
        <w:rPr>
          <w:rFonts w:ascii="Arial" w:hAnsi="Arial" w:cs="Arial"/>
          <w:sz w:val="18"/>
          <w:szCs w:val="18"/>
          <w:lang w:val="cs-CZ"/>
        </w:rPr>
        <w:t>neobsazených</w:t>
      </w:r>
      <w:r w:rsidR="00DD7867" w:rsidRPr="00B6639E">
        <w:rPr>
          <w:rFonts w:ascii="Arial" w:hAnsi="Arial" w:cs="Arial"/>
          <w:sz w:val="18"/>
          <w:szCs w:val="18"/>
          <w:lang w:val="cs-CZ"/>
        </w:rPr>
        <w:t xml:space="preserve"> podnájmů</w:t>
      </w:r>
      <w:r w:rsidR="00B462D0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r w:rsidR="00947001" w:rsidRPr="00B6639E">
        <w:rPr>
          <w:rFonts w:ascii="Arial" w:hAnsi="Arial" w:cs="Arial"/>
          <w:sz w:val="18"/>
          <w:szCs w:val="18"/>
          <w:lang w:val="cs-CZ"/>
        </w:rPr>
        <w:t>v</w:t>
      </w:r>
      <w:r w:rsidR="000101B5">
        <w:rPr>
          <w:rFonts w:ascii="Arial" w:hAnsi="Arial" w:cs="Arial"/>
          <w:sz w:val="18"/>
          <w:szCs w:val="18"/>
          <w:lang w:val="cs-CZ"/>
        </w:rPr>
        <w:t> druhém č</w:t>
      </w:r>
      <w:r w:rsidR="00B462D0" w:rsidRPr="00B6639E">
        <w:rPr>
          <w:rFonts w:ascii="Arial" w:hAnsi="Arial" w:cs="Arial"/>
          <w:sz w:val="18"/>
          <w:szCs w:val="18"/>
          <w:lang w:val="cs-CZ" w:eastAsia="cs-CZ"/>
        </w:rPr>
        <w:t xml:space="preserve">tvrtletí </w:t>
      </w:r>
      <w:r w:rsidR="00947001" w:rsidRPr="00B6639E">
        <w:rPr>
          <w:rFonts w:ascii="Arial" w:hAnsi="Arial" w:cs="Arial"/>
          <w:sz w:val="18"/>
          <w:szCs w:val="18"/>
          <w:lang w:val="cs-CZ" w:eastAsia="cs-CZ"/>
        </w:rPr>
        <w:t>2021</w:t>
      </w:r>
      <w:r w:rsidR="00DD7867" w:rsidRPr="00B6639E">
        <w:rPr>
          <w:rFonts w:ascii="Arial" w:hAnsi="Arial" w:cs="Arial"/>
          <w:sz w:val="18"/>
          <w:szCs w:val="18"/>
          <w:lang w:val="cs-CZ"/>
        </w:rPr>
        <w:t xml:space="preserve"> dosáhl</w:t>
      </w:r>
      <w:r w:rsidR="00A6052B" w:rsidRPr="00B6639E">
        <w:rPr>
          <w:rFonts w:ascii="Arial" w:hAnsi="Arial" w:cs="Arial"/>
          <w:sz w:val="18"/>
          <w:szCs w:val="18"/>
          <w:lang w:val="cs-CZ"/>
        </w:rPr>
        <w:t>a</w:t>
      </w:r>
      <w:r w:rsidR="008F49AA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r w:rsidR="000101B5">
        <w:rPr>
          <w:rFonts w:ascii="Arial" w:hAnsi="Arial" w:cs="Arial"/>
          <w:sz w:val="18"/>
          <w:szCs w:val="18"/>
          <w:lang w:val="cs-CZ"/>
        </w:rPr>
        <w:t>65 000</w:t>
      </w:r>
      <w:r w:rsidR="008F49AA" w:rsidRPr="00B6639E">
        <w:rPr>
          <w:rFonts w:ascii="Arial" w:hAnsi="Arial" w:cs="Arial"/>
          <w:sz w:val="18"/>
          <w:szCs w:val="18"/>
          <w:lang w:val="cs-CZ"/>
        </w:rPr>
        <w:t xml:space="preserve"> m</w:t>
      </w:r>
      <w:r w:rsidR="008F49AA"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9949A1" w:rsidRPr="00B6639E">
        <w:rPr>
          <w:rFonts w:ascii="Arial" w:hAnsi="Arial" w:cs="Arial"/>
          <w:sz w:val="18"/>
          <w:szCs w:val="18"/>
          <w:lang w:val="cs-CZ" w:eastAsia="cs-CZ"/>
        </w:rPr>
        <w:t xml:space="preserve">, </w:t>
      </w:r>
      <w:r w:rsidR="008E775B" w:rsidRPr="00B6639E">
        <w:rPr>
          <w:rFonts w:ascii="Arial" w:hAnsi="Arial" w:cs="Arial"/>
          <w:sz w:val="18"/>
          <w:szCs w:val="18"/>
          <w:lang w:val="cs-CZ" w:eastAsia="cs-CZ"/>
        </w:rPr>
        <w:t>což</w:t>
      </w:r>
      <w:r w:rsidR="00167852" w:rsidRPr="00B6639E">
        <w:rPr>
          <w:rFonts w:ascii="Arial" w:hAnsi="Arial" w:cs="Arial"/>
          <w:sz w:val="18"/>
          <w:szCs w:val="18"/>
          <w:lang w:val="cs-CZ" w:eastAsia="cs-CZ"/>
        </w:rPr>
        <w:t xml:space="preserve"> je v</w:t>
      </w:r>
      <w:r w:rsidR="002E480B" w:rsidRPr="00B6639E">
        <w:rPr>
          <w:rFonts w:ascii="Arial" w:hAnsi="Arial" w:cs="Arial"/>
          <w:sz w:val="18"/>
          <w:szCs w:val="18"/>
          <w:lang w:val="cs-CZ" w:eastAsia="cs-CZ"/>
        </w:rPr>
        <w:t>e srovnání</w:t>
      </w:r>
      <w:r w:rsidR="00167852" w:rsidRPr="00B6639E">
        <w:rPr>
          <w:rFonts w:ascii="Arial" w:hAnsi="Arial" w:cs="Arial"/>
          <w:sz w:val="18"/>
          <w:szCs w:val="18"/>
          <w:lang w:val="cs-CZ" w:eastAsia="cs-CZ"/>
        </w:rPr>
        <w:t xml:space="preserve"> s předch</w:t>
      </w:r>
      <w:r w:rsidR="002E480B" w:rsidRPr="00B6639E">
        <w:rPr>
          <w:rFonts w:ascii="Arial" w:hAnsi="Arial" w:cs="Arial"/>
          <w:sz w:val="18"/>
          <w:szCs w:val="18"/>
          <w:lang w:val="cs-CZ" w:eastAsia="cs-CZ"/>
        </w:rPr>
        <w:t>oz</w:t>
      </w:r>
      <w:r w:rsidR="00167852" w:rsidRPr="00B6639E">
        <w:rPr>
          <w:rFonts w:ascii="Arial" w:hAnsi="Arial" w:cs="Arial"/>
          <w:sz w:val="18"/>
          <w:szCs w:val="18"/>
          <w:lang w:val="cs-CZ" w:eastAsia="cs-CZ"/>
        </w:rPr>
        <w:t xml:space="preserve">ím </w:t>
      </w:r>
      <w:r w:rsidR="00FA3CF1" w:rsidRPr="00B6639E">
        <w:rPr>
          <w:rFonts w:ascii="Arial" w:hAnsi="Arial" w:cs="Arial"/>
          <w:sz w:val="18"/>
          <w:szCs w:val="18"/>
          <w:lang w:val="cs-CZ" w:eastAsia="cs-CZ"/>
        </w:rPr>
        <w:t xml:space="preserve">čtvrtletím </w:t>
      </w:r>
      <w:r w:rsidR="000101B5">
        <w:rPr>
          <w:rFonts w:ascii="Arial" w:hAnsi="Arial" w:cs="Arial"/>
          <w:sz w:val="18"/>
          <w:szCs w:val="18"/>
          <w:lang w:val="cs-CZ" w:eastAsia="cs-CZ"/>
        </w:rPr>
        <w:t>pokles o</w:t>
      </w:r>
      <w:r w:rsidR="006F6AC6" w:rsidRPr="00B6639E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="00947001" w:rsidRPr="00B6639E">
        <w:rPr>
          <w:rFonts w:ascii="Arial" w:hAnsi="Arial" w:cs="Arial"/>
          <w:sz w:val="18"/>
          <w:szCs w:val="18"/>
          <w:lang w:val="cs-CZ" w:eastAsia="cs-CZ"/>
        </w:rPr>
        <w:t>1</w:t>
      </w:r>
      <w:r w:rsidR="000101B5">
        <w:rPr>
          <w:rFonts w:ascii="Arial" w:hAnsi="Arial" w:cs="Arial"/>
          <w:sz w:val="18"/>
          <w:szCs w:val="18"/>
          <w:lang w:val="cs-CZ" w:eastAsia="cs-CZ"/>
        </w:rPr>
        <w:t>4</w:t>
      </w:r>
      <w:r w:rsidR="7DB9C4DB" w:rsidRPr="00B6639E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="00A94042" w:rsidRPr="00B6639E">
        <w:rPr>
          <w:rFonts w:ascii="Arial" w:hAnsi="Arial" w:cs="Arial"/>
          <w:sz w:val="18"/>
          <w:szCs w:val="18"/>
          <w:lang w:val="cs-CZ" w:eastAsia="cs-CZ"/>
        </w:rPr>
        <w:t>%</w:t>
      </w:r>
      <w:r w:rsidR="008967AA" w:rsidRPr="00B6639E">
        <w:rPr>
          <w:rFonts w:ascii="Arial" w:hAnsi="Arial" w:cs="Arial"/>
          <w:sz w:val="18"/>
          <w:szCs w:val="18"/>
          <w:lang w:val="cs-CZ" w:eastAsia="cs-CZ"/>
        </w:rPr>
        <w:t>.</w:t>
      </w:r>
    </w:p>
    <w:p w14:paraId="3326FAD6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t>Realizovaná poptávka</w:t>
      </w:r>
    </w:p>
    <w:p w14:paraId="5FDE3688" w14:textId="55C90257" w:rsidR="001C2214" w:rsidRPr="00B6639E" w:rsidRDefault="001C2214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23B55B52">
        <w:rPr>
          <w:rFonts w:ascii="Arial" w:hAnsi="Arial" w:cs="Arial"/>
          <w:sz w:val="18"/>
          <w:szCs w:val="18"/>
          <w:lang w:val="cs-CZ"/>
        </w:rPr>
        <w:t xml:space="preserve">Celková hrubá realizovaná poptávka (včetně obnovených smluv </w:t>
      </w:r>
      <w:r w:rsidR="00E05D76" w:rsidRPr="23B55B52">
        <w:rPr>
          <w:rFonts w:ascii="Arial" w:hAnsi="Arial" w:cs="Arial"/>
          <w:sz w:val="18"/>
          <w:szCs w:val="18"/>
          <w:lang w:val="cs-CZ" w:eastAsia="cs-CZ"/>
        </w:rPr>
        <w:t>–</w:t>
      </w:r>
      <w:r w:rsidRPr="23B55B52">
        <w:rPr>
          <w:rFonts w:ascii="Arial" w:hAnsi="Arial" w:cs="Arial"/>
          <w:sz w:val="18"/>
          <w:szCs w:val="18"/>
          <w:lang w:val="cs-CZ"/>
        </w:rPr>
        <w:t xml:space="preserve"> tzv. </w:t>
      </w:r>
      <w:proofErr w:type="spellStart"/>
      <w:r w:rsidRPr="23B55B52">
        <w:rPr>
          <w:rFonts w:ascii="Arial" w:hAnsi="Arial" w:cs="Arial"/>
          <w:sz w:val="18"/>
          <w:szCs w:val="18"/>
          <w:lang w:val="cs-CZ" w:eastAsia="cs-CZ"/>
        </w:rPr>
        <w:t>renegociací</w:t>
      </w:r>
      <w:proofErr w:type="spellEnd"/>
      <w:r w:rsidRPr="23B55B52">
        <w:rPr>
          <w:rFonts w:ascii="Arial" w:hAnsi="Arial" w:cs="Arial"/>
          <w:sz w:val="18"/>
          <w:szCs w:val="18"/>
          <w:lang w:val="cs-CZ" w:eastAsia="cs-CZ"/>
        </w:rPr>
        <w:t xml:space="preserve"> – a podnájmů) dosáhla v</w:t>
      </w:r>
      <w:r w:rsidR="000101B5" w:rsidRPr="23B55B52">
        <w:rPr>
          <w:rFonts w:ascii="Arial" w:hAnsi="Arial" w:cs="Arial"/>
          <w:sz w:val="18"/>
          <w:szCs w:val="18"/>
          <w:lang w:val="cs-CZ" w:eastAsia="cs-CZ"/>
        </w:rPr>
        <w:t xml:space="preserve"> druhém </w:t>
      </w:r>
      <w:r w:rsidRPr="23B55B52">
        <w:rPr>
          <w:rFonts w:ascii="Arial" w:hAnsi="Arial" w:cs="Arial"/>
          <w:sz w:val="18"/>
          <w:szCs w:val="18"/>
          <w:lang w:val="cs-CZ" w:eastAsia="cs-CZ"/>
        </w:rPr>
        <w:t xml:space="preserve">čtvrtletí roku </w:t>
      </w:r>
      <w:r w:rsidR="00947001" w:rsidRPr="23B55B52">
        <w:rPr>
          <w:rFonts w:ascii="Arial" w:hAnsi="Arial" w:cs="Arial"/>
          <w:sz w:val="18"/>
          <w:szCs w:val="18"/>
          <w:lang w:val="cs-CZ" w:eastAsia="cs-CZ"/>
        </w:rPr>
        <w:t>2021</w:t>
      </w:r>
      <w:r w:rsidRPr="23B55B52">
        <w:rPr>
          <w:rFonts w:ascii="Arial" w:hAnsi="Arial" w:cs="Arial"/>
          <w:sz w:val="18"/>
          <w:szCs w:val="18"/>
          <w:lang w:val="cs-CZ" w:eastAsia="cs-CZ"/>
        </w:rPr>
        <w:t xml:space="preserve"> objemu </w:t>
      </w:r>
      <w:r w:rsidR="000101B5" w:rsidRPr="23B55B52">
        <w:rPr>
          <w:rFonts w:ascii="Arial" w:hAnsi="Arial" w:cs="Arial"/>
          <w:sz w:val="18"/>
          <w:szCs w:val="18"/>
          <w:lang w:val="cs-CZ" w:eastAsia="cs-CZ"/>
        </w:rPr>
        <w:t>8</w:t>
      </w:r>
      <w:r w:rsidR="7FC240F2" w:rsidRPr="23B55B52">
        <w:rPr>
          <w:rFonts w:ascii="Arial" w:hAnsi="Arial" w:cs="Arial"/>
          <w:sz w:val="18"/>
          <w:szCs w:val="18"/>
          <w:lang w:val="cs-CZ" w:eastAsia="cs-CZ"/>
        </w:rPr>
        <w:t>9</w:t>
      </w:r>
      <w:r w:rsidR="000101B5" w:rsidRPr="23B55B52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="52DB72CC" w:rsidRPr="23B55B52">
        <w:rPr>
          <w:rFonts w:ascii="Arial" w:hAnsi="Arial" w:cs="Arial"/>
          <w:sz w:val="18"/>
          <w:szCs w:val="18"/>
          <w:lang w:val="cs-CZ" w:eastAsia="cs-CZ"/>
        </w:rPr>
        <w:t>3</w:t>
      </w:r>
      <w:r w:rsidR="000101B5" w:rsidRPr="23B55B52">
        <w:rPr>
          <w:rFonts w:ascii="Arial" w:hAnsi="Arial" w:cs="Arial"/>
          <w:sz w:val="18"/>
          <w:szCs w:val="18"/>
          <w:lang w:val="cs-CZ" w:eastAsia="cs-CZ"/>
        </w:rPr>
        <w:t>00</w:t>
      </w:r>
      <w:r w:rsidR="006E52A8" w:rsidRPr="23B55B52">
        <w:rPr>
          <w:rFonts w:ascii="Arial" w:hAnsi="Arial" w:cs="Arial"/>
          <w:sz w:val="18"/>
          <w:szCs w:val="18"/>
          <w:lang w:val="cs-CZ" w:eastAsia="cs-CZ"/>
        </w:rPr>
        <w:t> </w:t>
      </w:r>
      <w:r w:rsidRPr="23B55B52">
        <w:rPr>
          <w:rFonts w:ascii="Arial" w:hAnsi="Arial" w:cs="Arial"/>
          <w:color w:val="000000" w:themeColor="text1"/>
          <w:sz w:val="18"/>
          <w:szCs w:val="18"/>
          <w:lang w:val="cs-CZ"/>
        </w:rPr>
        <w:t>m</w:t>
      </w:r>
      <w:r w:rsidRPr="23B55B52">
        <w:rPr>
          <w:rFonts w:ascii="Arial" w:hAnsi="Arial" w:cs="Arial"/>
          <w:color w:val="000000" w:themeColor="text1"/>
          <w:sz w:val="18"/>
          <w:szCs w:val="18"/>
          <w:vertAlign w:val="superscript"/>
          <w:lang w:val="cs-CZ"/>
        </w:rPr>
        <w:t>2</w:t>
      </w:r>
      <w:r w:rsidRPr="23B55B52">
        <w:rPr>
          <w:rFonts w:ascii="Arial" w:hAnsi="Arial" w:cs="Arial"/>
          <w:sz w:val="18"/>
          <w:szCs w:val="18"/>
          <w:lang w:val="cs-CZ"/>
        </w:rPr>
        <w:t xml:space="preserve">, což představuje mezičtvrtletní </w:t>
      </w:r>
      <w:r w:rsidR="00947001" w:rsidRPr="23B55B52">
        <w:rPr>
          <w:rFonts w:ascii="Arial" w:hAnsi="Arial" w:cs="Arial"/>
          <w:sz w:val="18"/>
          <w:szCs w:val="18"/>
          <w:lang w:val="cs-CZ"/>
        </w:rPr>
        <w:t>pokles</w:t>
      </w:r>
      <w:r w:rsidRPr="23B55B52">
        <w:rPr>
          <w:rFonts w:ascii="Arial" w:hAnsi="Arial" w:cs="Arial"/>
          <w:sz w:val="18"/>
          <w:szCs w:val="18"/>
          <w:lang w:val="cs-CZ"/>
        </w:rPr>
        <w:t xml:space="preserve"> o </w:t>
      </w:r>
      <w:r w:rsidR="20911281" w:rsidRPr="23B55B52">
        <w:rPr>
          <w:rFonts w:ascii="Arial" w:hAnsi="Arial" w:cs="Arial"/>
          <w:sz w:val="18"/>
          <w:szCs w:val="18"/>
          <w:lang w:val="cs-CZ"/>
        </w:rPr>
        <w:t>5</w:t>
      </w:r>
      <w:r w:rsidRPr="23B55B52">
        <w:rPr>
          <w:rFonts w:ascii="Arial" w:hAnsi="Arial" w:cs="Arial"/>
          <w:sz w:val="18"/>
          <w:szCs w:val="18"/>
          <w:lang w:val="cs-CZ"/>
        </w:rPr>
        <w:t xml:space="preserve"> %</w:t>
      </w:r>
      <w:r w:rsidR="00A94042" w:rsidRPr="23B55B52">
        <w:rPr>
          <w:rFonts w:ascii="Arial" w:hAnsi="Arial" w:cs="Arial"/>
          <w:sz w:val="18"/>
          <w:szCs w:val="18"/>
          <w:lang w:val="cs-CZ"/>
        </w:rPr>
        <w:t xml:space="preserve">, </w:t>
      </w:r>
      <w:r w:rsidR="00947001" w:rsidRPr="23B55B52">
        <w:rPr>
          <w:rFonts w:ascii="Arial" w:hAnsi="Arial" w:cs="Arial"/>
          <w:sz w:val="18"/>
          <w:szCs w:val="18"/>
          <w:lang w:val="cs-CZ"/>
        </w:rPr>
        <w:t>nicméně</w:t>
      </w:r>
      <w:r w:rsidR="00A94042" w:rsidRPr="23B55B52">
        <w:rPr>
          <w:rFonts w:ascii="Arial" w:hAnsi="Arial" w:cs="Arial"/>
          <w:sz w:val="18"/>
          <w:szCs w:val="18"/>
          <w:lang w:val="cs-CZ"/>
        </w:rPr>
        <w:t xml:space="preserve"> </w:t>
      </w:r>
      <w:r w:rsidRPr="23B55B52">
        <w:rPr>
          <w:rFonts w:ascii="Arial" w:hAnsi="Arial" w:cs="Arial"/>
          <w:sz w:val="18"/>
          <w:szCs w:val="18"/>
          <w:lang w:val="cs-CZ"/>
        </w:rPr>
        <w:t xml:space="preserve">meziroční </w:t>
      </w:r>
      <w:r w:rsidR="00947001" w:rsidRPr="23B55B52">
        <w:rPr>
          <w:rFonts w:ascii="Arial" w:hAnsi="Arial" w:cs="Arial"/>
          <w:sz w:val="18"/>
          <w:szCs w:val="18"/>
          <w:lang w:val="cs-CZ"/>
        </w:rPr>
        <w:t>nárůst</w:t>
      </w:r>
      <w:r w:rsidR="00E23B29" w:rsidRPr="23B55B52">
        <w:rPr>
          <w:rFonts w:ascii="Arial" w:hAnsi="Arial" w:cs="Arial"/>
          <w:sz w:val="18"/>
          <w:szCs w:val="18"/>
          <w:lang w:val="cs-CZ"/>
        </w:rPr>
        <w:t xml:space="preserve"> </w:t>
      </w:r>
      <w:r w:rsidRPr="23B55B52">
        <w:rPr>
          <w:rFonts w:ascii="Arial" w:hAnsi="Arial" w:cs="Arial"/>
          <w:sz w:val="18"/>
          <w:szCs w:val="18"/>
          <w:lang w:val="cs-CZ"/>
        </w:rPr>
        <w:t xml:space="preserve">o </w:t>
      </w:r>
      <w:r w:rsidR="03F7B369" w:rsidRPr="23B55B52">
        <w:rPr>
          <w:rFonts w:ascii="Arial" w:hAnsi="Arial" w:cs="Arial"/>
          <w:sz w:val="18"/>
          <w:szCs w:val="18"/>
          <w:lang w:val="cs-CZ"/>
        </w:rPr>
        <w:t>10</w:t>
      </w:r>
      <w:r w:rsidRPr="23B55B52">
        <w:rPr>
          <w:rFonts w:ascii="Arial" w:hAnsi="Arial" w:cs="Arial"/>
          <w:sz w:val="18"/>
          <w:szCs w:val="18"/>
          <w:lang w:val="cs-CZ"/>
        </w:rPr>
        <w:t xml:space="preserve"> %. </w:t>
      </w:r>
    </w:p>
    <w:p w14:paraId="6ADEF664" w14:textId="3401DFBB" w:rsidR="001C2214" w:rsidRPr="00B6639E" w:rsidRDefault="001C2214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 xml:space="preserve">Největší hrubá realizovaná poptávka v </w:t>
      </w:r>
      <w:r w:rsidR="000101B5">
        <w:rPr>
          <w:rFonts w:ascii="Arial" w:hAnsi="Arial" w:cs="Arial"/>
          <w:sz w:val="18"/>
          <w:szCs w:val="18"/>
          <w:lang w:val="cs-CZ"/>
        </w:rPr>
        <w:t>2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. čtvrtletí </w:t>
      </w:r>
      <w:r w:rsidR="00750126" w:rsidRPr="00B6639E">
        <w:rPr>
          <w:rFonts w:ascii="Arial" w:hAnsi="Arial" w:cs="Arial"/>
          <w:sz w:val="18"/>
          <w:szCs w:val="18"/>
          <w:lang w:val="cs-CZ"/>
        </w:rPr>
        <w:t xml:space="preserve">2021 </w:t>
      </w:r>
      <w:r w:rsidRPr="00B6639E">
        <w:rPr>
          <w:rFonts w:ascii="Arial" w:hAnsi="Arial" w:cs="Arial"/>
          <w:sz w:val="18"/>
          <w:szCs w:val="18"/>
          <w:lang w:val="cs-CZ"/>
        </w:rPr>
        <w:t>byla zaznamenána v městských částech Praha </w:t>
      </w:r>
      <w:r w:rsidR="000101B5">
        <w:rPr>
          <w:rFonts w:ascii="Arial" w:hAnsi="Arial" w:cs="Arial"/>
          <w:sz w:val="18"/>
          <w:szCs w:val="18"/>
          <w:lang w:val="cs-CZ"/>
        </w:rPr>
        <w:t>8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(</w:t>
      </w:r>
      <w:r w:rsidR="000101B5">
        <w:rPr>
          <w:rFonts w:ascii="Arial" w:hAnsi="Arial" w:cs="Arial"/>
          <w:sz w:val="18"/>
          <w:szCs w:val="18"/>
          <w:lang w:val="cs-CZ"/>
        </w:rPr>
        <w:t>21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%), dále pak v Praze </w:t>
      </w:r>
      <w:r w:rsidR="000101B5">
        <w:rPr>
          <w:rFonts w:ascii="Arial" w:hAnsi="Arial" w:cs="Arial"/>
          <w:sz w:val="18"/>
          <w:szCs w:val="18"/>
          <w:lang w:val="cs-CZ"/>
        </w:rPr>
        <w:t>1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(</w:t>
      </w:r>
      <w:r w:rsidR="00750126" w:rsidRPr="00B6639E">
        <w:rPr>
          <w:rFonts w:ascii="Arial" w:hAnsi="Arial" w:cs="Arial"/>
          <w:sz w:val="18"/>
          <w:szCs w:val="18"/>
          <w:lang w:val="cs-CZ"/>
        </w:rPr>
        <w:t>1</w:t>
      </w:r>
      <w:r w:rsidR="000101B5">
        <w:rPr>
          <w:rFonts w:ascii="Arial" w:hAnsi="Arial" w:cs="Arial"/>
          <w:sz w:val="18"/>
          <w:szCs w:val="18"/>
          <w:lang w:val="cs-CZ"/>
        </w:rPr>
        <w:t xml:space="preserve">8 </w:t>
      </w:r>
      <w:r w:rsidRPr="00B6639E">
        <w:rPr>
          <w:rFonts w:ascii="Arial" w:hAnsi="Arial" w:cs="Arial"/>
          <w:sz w:val="18"/>
          <w:szCs w:val="18"/>
          <w:lang w:val="cs-CZ"/>
        </w:rPr>
        <w:t>%) a Praze </w:t>
      </w:r>
      <w:r w:rsidR="000101B5">
        <w:rPr>
          <w:rFonts w:ascii="Arial" w:hAnsi="Arial" w:cs="Arial"/>
          <w:sz w:val="18"/>
          <w:szCs w:val="18"/>
          <w:lang w:val="cs-CZ"/>
        </w:rPr>
        <w:t xml:space="preserve">4 </w:t>
      </w:r>
      <w:r w:rsidR="00340616">
        <w:rPr>
          <w:rFonts w:ascii="Arial" w:hAnsi="Arial" w:cs="Arial"/>
          <w:sz w:val="18"/>
          <w:szCs w:val="18"/>
          <w:lang w:val="cs-CZ"/>
        </w:rPr>
        <w:t>(</w:t>
      </w:r>
      <w:r w:rsidR="00750126" w:rsidRPr="00B6639E">
        <w:rPr>
          <w:rFonts w:ascii="Arial" w:hAnsi="Arial" w:cs="Arial"/>
          <w:sz w:val="18"/>
          <w:szCs w:val="18"/>
          <w:lang w:val="cs-CZ"/>
        </w:rPr>
        <w:t>1</w:t>
      </w:r>
      <w:r w:rsidR="000101B5">
        <w:rPr>
          <w:rFonts w:ascii="Arial" w:hAnsi="Arial" w:cs="Arial"/>
          <w:sz w:val="18"/>
          <w:szCs w:val="18"/>
          <w:lang w:val="cs-CZ"/>
        </w:rPr>
        <w:t>4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%). Nejaktivnějšími společnostmi byly firmy působící </w:t>
      </w:r>
      <w:r w:rsidR="00340616" w:rsidRPr="00B6639E">
        <w:rPr>
          <w:rFonts w:ascii="Arial" w:hAnsi="Arial" w:cs="Arial"/>
          <w:sz w:val="18"/>
          <w:szCs w:val="18"/>
          <w:lang w:val="cs-CZ"/>
        </w:rPr>
        <w:t xml:space="preserve">v profesionálních službách </w:t>
      </w:r>
      <w:r w:rsidRPr="00B6639E">
        <w:rPr>
          <w:rFonts w:ascii="Arial" w:hAnsi="Arial" w:cs="Arial"/>
          <w:sz w:val="18"/>
          <w:szCs w:val="18"/>
          <w:lang w:val="cs-CZ"/>
        </w:rPr>
        <w:t>(</w:t>
      </w:r>
      <w:r w:rsidR="00340616">
        <w:rPr>
          <w:rFonts w:ascii="Arial" w:hAnsi="Arial" w:cs="Arial"/>
          <w:sz w:val="18"/>
          <w:szCs w:val="18"/>
          <w:lang w:val="cs-CZ"/>
        </w:rPr>
        <w:t xml:space="preserve">13 </w:t>
      </w:r>
      <w:r w:rsidRPr="00B6639E">
        <w:rPr>
          <w:rFonts w:ascii="Arial" w:hAnsi="Arial" w:cs="Arial"/>
          <w:sz w:val="18"/>
          <w:szCs w:val="18"/>
          <w:lang w:val="cs-CZ"/>
        </w:rPr>
        <w:t>%), následovány</w:t>
      </w:r>
      <w:r w:rsidR="00947001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společnostmi </w:t>
      </w:r>
      <w:r w:rsidR="00A94042" w:rsidRPr="00B6639E">
        <w:rPr>
          <w:rFonts w:ascii="Arial" w:hAnsi="Arial" w:cs="Arial"/>
          <w:sz w:val="18"/>
          <w:szCs w:val="18"/>
          <w:lang w:val="cs-CZ"/>
        </w:rPr>
        <w:t>z</w:t>
      </w:r>
      <w:r w:rsidR="00340616">
        <w:rPr>
          <w:rFonts w:ascii="Arial" w:hAnsi="Arial" w:cs="Arial"/>
          <w:sz w:val="18"/>
          <w:szCs w:val="18"/>
          <w:lang w:val="cs-CZ"/>
        </w:rPr>
        <w:t> veřejného s</w:t>
      </w:r>
      <w:r w:rsidR="00A94042" w:rsidRPr="00B6639E">
        <w:rPr>
          <w:rFonts w:ascii="Arial" w:hAnsi="Arial" w:cs="Arial"/>
          <w:sz w:val="18"/>
          <w:szCs w:val="18"/>
          <w:lang w:val="cs-CZ"/>
        </w:rPr>
        <w:t xml:space="preserve">ektoru </w:t>
      </w:r>
      <w:r w:rsidRPr="00B6639E">
        <w:rPr>
          <w:rFonts w:ascii="Arial" w:hAnsi="Arial" w:cs="Arial"/>
          <w:sz w:val="18"/>
          <w:szCs w:val="18"/>
          <w:lang w:val="cs-CZ"/>
        </w:rPr>
        <w:t>(</w:t>
      </w:r>
      <w:r w:rsidR="00340616">
        <w:rPr>
          <w:rFonts w:ascii="Arial" w:hAnsi="Arial" w:cs="Arial"/>
          <w:sz w:val="18"/>
          <w:szCs w:val="18"/>
          <w:lang w:val="cs-CZ"/>
        </w:rPr>
        <w:t>10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%)</w:t>
      </w:r>
      <w:r w:rsidR="00947001" w:rsidRPr="00B6639E">
        <w:rPr>
          <w:rFonts w:ascii="Arial" w:hAnsi="Arial" w:cs="Arial"/>
          <w:sz w:val="18"/>
          <w:szCs w:val="18"/>
          <w:lang w:val="cs-CZ"/>
        </w:rPr>
        <w:t xml:space="preserve"> a společnostmi působícími v</w:t>
      </w:r>
      <w:r w:rsidR="00340616">
        <w:rPr>
          <w:rFonts w:ascii="Arial" w:hAnsi="Arial" w:cs="Arial"/>
          <w:sz w:val="18"/>
          <w:szCs w:val="18"/>
          <w:lang w:val="cs-CZ"/>
        </w:rPr>
        <w:t> oboru spotřebního zboží</w:t>
      </w:r>
      <w:r w:rsidR="00947001" w:rsidRPr="00B6639E">
        <w:rPr>
          <w:rFonts w:ascii="Arial" w:hAnsi="Arial" w:cs="Arial"/>
          <w:sz w:val="18"/>
          <w:szCs w:val="18"/>
          <w:lang w:val="cs-CZ"/>
        </w:rPr>
        <w:t xml:space="preserve"> (1</w:t>
      </w:r>
      <w:r w:rsidR="00340616">
        <w:rPr>
          <w:rFonts w:ascii="Arial" w:hAnsi="Arial" w:cs="Arial"/>
          <w:sz w:val="18"/>
          <w:szCs w:val="18"/>
          <w:lang w:val="cs-CZ"/>
        </w:rPr>
        <w:t>0</w:t>
      </w:r>
      <w:r w:rsidR="00947001" w:rsidRPr="00B6639E">
        <w:rPr>
          <w:rFonts w:ascii="Arial" w:hAnsi="Arial" w:cs="Arial"/>
          <w:sz w:val="18"/>
          <w:szCs w:val="18"/>
          <w:lang w:val="cs-CZ"/>
        </w:rPr>
        <w:t xml:space="preserve"> %).</w:t>
      </w:r>
    </w:p>
    <w:p w14:paraId="069F4541" w14:textId="6798BBC9" w:rsidR="001C2214" w:rsidRPr="00B6639E" w:rsidRDefault="00A94042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</w:t>
      </w:r>
      <w:r w:rsidR="00750126" w:rsidRPr="00B6639E">
        <w:rPr>
          <w:rFonts w:ascii="Arial" w:hAnsi="Arial" w:cs="Arial"/>
          <w:sz w:val="18"/>
          <w:szCs w:val="18"/>
          <w:lang w:val="cs-CZ"/>
        </w:rPr>
        <w:t> </w:t>
      </w:r>
      <w:r w:rsidR="00340616">
        <w:rPr>
          <w:rFonts w:ascii="Arial" w:hAnsi="Arial" w:cs="Arial"/>
          <w:sz w:val="18"/>
          <w:szCs w:val="18"/>
          <w:lang w:val="cs-CZ"/>
        </w:rPr>
        <w:t>druhém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čtvrtletí</w:t>
      </w:r>
      <w:r w:rsidR="00750126" w:rsidRPr="00B6639E">
        <w:rPr>
          <w:rFonts w:ascii="Arial" w:hAnsi="Arial" w:cs="Arial"/>
          <w:sz w:val="18"/>
          <w:szCs w:val="18"/>
          <w:lang w:val="cs-CZ"/>
        </w:rPr>
        <w:t xml:space="preserve"> roku 2021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dosáhl p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odíl </w:t>
      </w:r>
      <w:proofErr w:type="spellStart"/>
      <w:r w:rsidR="001C2214" w:rsidRPr="00B6639E">
        <w:rPr>
          <w:rFonts w:ascii="Arial" w:hAnsi="Arial" w:cs="Arial"/>
          <w:sz w:val="18"/>
          <w:szCs w:val="18"/>
          <w:lang w:val="cs-CZ"/>
        </w:rPr>
        <w:t>renegociací</w:t>
      </w:r>
      <w:proofErr w:type="spellEnd"/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na celkové realizované poptávce </w:t>
      </w:r>
      <w:r w:rsidR="00340616">
        <w:rPr>
          <w:rFonts w:ascii="Arial" w:hAnsi="Arial" w:cs="Arial"/>
          <w:sz w:val="18"/>
          <w:szCs w:val="18"/>
          <w:lang w:val="cs-CZ"/>
        </w:rPr>
        <w:t>37</w:t>
      </w:r>
      <w:r w:rsidR="001C2214" w:rsidRPr="00B6639E">
        <w:rPr>
          <w:rFonts w:ascii="Arial" w:hAnsi="Arial" w:cs="Arial"/>
          <w:sz w:val="18"/>
          <w:szCs w:val="18"/>
          <w:lang w:val="cs-CZ"/>
        </w:rPr>
        <w:t> %, zatímco celkový objem nově pronajatých prostor včetně </w:t>
      </w:r>
      <w:proofErr w:type="spellStart"/>
      <w:r w:rsidR="001C2214" w:rsidRPr="00B6639E">
        <w:rPr>
          <w:rFonts w:ascii="Arial" w:hAnsi="Arial" w:cs="Arial"/>
          <w:sz w:val="18"/>
          <w:szCs w:val="18"/>
          <w:lang w:val="cs-CZ"/>
        </w:rPr>
        <w:t>předpronájmů</w:t>
      </w:r>
      <w:proofErr w:type="spellEnd"/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a expanzí představoval </w:t>
      </w:r>
      <w:r w:rsidR="00D97421">
        <w:rPr>
          <w:rFonts w:ascii="Arial" w:hAnsi="Arial" w:cs="Arial"/>
          <w:sz w:val="18"/>
          <w:szCs w:val="18"/>
          <w:lang w:val="cs-CZ"/>
        </w:rPr>
        <w:t>55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% z celkové hrubé realizované poptávky</w:t>
      </w:r>
      <w:r w:rsidR="3F720018" w:rsidRPr="00B6639E">
        <w:rPr>
          <w:rFonts w:ascii="Arial" w:hAnsi="Arial" w:cs="Arial"/>
          <w:sz w:val="18"/>
          <w:szCs w:val="18"/>
          <w:lang w:val="cs-CZ"/>
        </w:rPr>
        <w:t>.</w:t>
      </w:r>
      <w:r w:rsidR="230E18E6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r w:rsidR="5E378A6F" w:rsidRPr="00B6639E">
        <w:rPr>
          <w:rFonts w:ascii="Arial" w:hAnsi="Arial" w:cs="Arial"/>
          <w:sz w:val="18"/>
          <w:szCs w:val="18"/>
          <w:lang w:val="cs-CZ"/>
        </w:rPr>
        <w:t>C</w:t>
      </w:r>
      <w:r w:rsidR="47305C02" w:rsidRPr="00B6639E">
        <w:rPr>
          <w:rFonts w:ascii="Arial" w:hAnsi="Arial" w:cs="Arial"/>
          <w:sz w:val="18"/>
          <w:szCs w:val="18"/>
          <w:lang w:val="cs-CZ"/>
        </w:rPr>
        <w:t>elkový</w:t>
      </w:r>
      <w:r w:rsidR="002C22E3" w:rsidRPr="00B6639E">
        <w:rPr>
          <w:rFonts w:ascii="Arial" w:hAnsi="Arial" w:cs="Arial"/>
          <w:sz w:val="18"/>
          <w:szCs w:val="18"/>
          <w:lang w:val="cs-CZ"/>
        </w:rPr>
        <w:t xml:space="preserve"> podíl podnájmů představoval </w:t>
      </w:r>
      <w:r w:rsidR="00B6639E">
        <w:rPr>
          <w:rFonts w:ascii="Arial" w:hAnsi="Arial" w:cs="Arial"/>
          <w:sz w:val="18"/>
          <w:szCs w:val="18"/>
          <w:lang w:val="cs-CZ"/>
        </w:rPr>
        <w:t>zbývající</w:t>
      </w:r>
      <w:r w:rsidR="004A2ACF">
        <w:rPr>
          <w:rFonts w:ascii="Arial" w:hAnsi="Arial" w:cs="Arial"/>
          <w:sz w:val="18"/>
          <w:szCs w:val="18"/>
          <w:lang w:val="cs-CZ"/>
        </w:rPr>
        <w:t>ch</w:t>
      </w:r>
      <w:r w:rsidR="00750126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r w:rsidR="00340616">
        <w:rPr>
          <w:rFonts w:ascii="Arial" w:hAnsi="Arial" w:cs="Arial"/>
          <w:sz w:val="18"/>
          <w:szCs w:val="18"/>
          <w:lang w:val="cs-CZ"/>
        </w:rPr>
        <w:t>8</w:t>
      </w:r>
      <w:r w:rsidR="00F71DD9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r w:rsidR="00A77CA3" w:rsidRPr="00B6639E">
        <w:rPr>
          <w:rFonts w:ascii="Arial" w:hAnsi="Arial" w:cs="Arial"/>
          <w:sz w:val="18"/>
          <w:szCs w:val="18"/>
          <w:lang w:val="cs-CZ"/>
        </w:rPr>
        <w:t>%.</w:t>
      </w:r>
    </w:p>
    <w:p w14:paraId="65C995B2" w14:textId="28D9D7F9" w:rsidR="00702258" w:rsidRPr="00B6639E" w:rsidRDefault="00702258" w:rsidP="004B7CF2">
      <w:pPr>
        <w:pStyle w:val="Nadpis1"/>
        <w:spacing w:before="0"/>
        <w:rPr>
          <w:lang w:val="cs-CZ"/>
        </w:rPr>
      </w:pPr>
      <w:r w:rsidRPr="00B6639E">
        <w:rPr>
          <w:lang w:val="cs-CZ"/>
        </w:rPr>
        <w:t>Významné pronájmy</w:t>
      </w:r>
    </w:p>
    <w:p w14:paraId="0CD8ABFC" w14:textId="28DE0171" w:rsidR="009F54C1" w:rsidRPr="00B6639E" w:rsidRDefault="009F54C1" w:rsidP="0467408A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6F676ED9">
        <w:rPr>
          <w:rFonts w:ascii="Arial" w:hAnsi="Arial" w:cs="Arial"/>
          <w:sz w:val="18"/>
          <w:szCs w:val="18"/>
          <w:lang w:val="cs-CZ"/>
        </w:rPr>
        <w:t xml:space="preserve">Největší </w:t>
      </w:r>
      <w:r w:rsidR="71EFE066" w:rsidRPr="6F676ED9">
        <w:rPr>
          <w:rFonts w:ascii="Arial" w:hAnsi="Arial" w:cs="Arial"/>
          <w:sz w:val="18"/>
          <w:szCs w:val="18"/>
          <w:lang w:val="cs-CZ"/>
        </w:rPr>
        <w:t xml:space="preserve">zveřejněnou transakcí </w:t>
      </w:r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druhého </w:t>
      </w:r>
      <w:r w:rsidR="00A94042" w:rsidRPr="6F676ED9">
        <w:rPr>
          <w:rFonts w:ascii="Arial" w:hAnsi="Arial" w:cs="Arial"/>
          <w:sz w:val="18"/>
          <w:szCs w:val="18"/>
          <w:lang w:val="cs-CZ"/>
        </w:rPr>
        <w:t xml:space="preserve">čtvrtletí </w:t>
      </w:r>
      <w:r w:rsidRPr="6F676ED9">
        <w:rPr>
          <w:rFonts w:ascii="Arial" w:hAnsi="Arial" w:cs="Arial"/>
          <w:sz w:val="18"/>
          <w:szCs w:val="18"/>
          <w:lang w:val="cs-CZ"/>
        </w:rPr>
        <w:t>2021 byl</w:t>
      </w:r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 nový pronájem Ministerstva průmyslu a obchodu</w:t>
      </w:r>
      <w:r w:rsidRPr="6F676ED9">
        <w:rPr>
          <w:rFonts w:ascii="Arial" w:hAnsi="Arial" w:cs="Arial"/>
          <w:sz w:val="18"/>
          <w:szCs w:val="18"/>
          <w:lang w:val="cs-CZ"/>
        </w:rPr>
        <w:t xml:space="preserve"> (</w:t>
      </w:r>
      <w:r w:rsidR="00806028" w:rsidRPr="6F676ED9">
        <w:rPr>
          <w:rFonts w:ascii="Arial" w:hAnsi="Arial" w:cs="Arial"/>
          <w:sz w:val="18"/>
          <w:szCs w:val="18"/>
          <w:lang w:val="cs-CZ"/>
        </w:rPr>
        <w:t>3 700</w:t>
      </w:r>
      <w:r w:rsidRPr="6F676ED9">
        <w:rPr>
          <w:rFonts w:ascii="Arial" w:hAnsi="Arial" w:cs="Arial"/>
          <w:sz w:val="18"/>
          <w:szCs w:val="18"/>
          <w:lang w:val="cs-CZ"/>
        </w:rPr>
        <w:t xml:space="preserve"> m</w:t>
      </w:r>
      <w:r w:rsidRPr="6F676ED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Pr="6F676ED9">
        <w:rPr>
          <w:rFonts w:ascii="Arial" w:hAnsi="Arial" w:cs="Arial"/>
          <w:sz w:val="18"/>
          <w:szCs w:val="18"/>
          <w:lang w:val="cs-CZ"/>
        </w:rPr>
        <w:t xml:space="preserve">) v budově </w:t>
      </w:r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Václavské náměstí 42 v </w:t>
      </w:r>
      <w:r w:rsidRPr="6F676ED9">
        <w:rPr>
          <w:rFonts w:ascii="Arial" w:hAnsi="Arial" w:cs="Arial"/>
          <w:sz w:val="18"/>
          <w:szCs w:val="18"/>
          <w:lang w:val="cs-CZ"/>
        </w:rPr>
        <w:t xml:space="preserve">Praze </w:t>
      </w:r>
      <w:r w:rsidR="00806028" w:rsidRPr="6F676ED9">
        <w:rPr>
          <w:rFonts w:ascii="Arial" w:hAnsi="Arial" w:cs="Arial"/>
          <w:sz w:val="18"/>
          <w:szCs w:val="18"/>
          <w:lang w:val="cs-CZ"/>
        </w:rPr>
        <w:t>1</w:t>
      </w:r>
      <w:r w:rsidRPr="6F676ED9">
        <w:rPr>
          <w:rFonts w:ascii="Arial" w:hAnsi="Arial" w:cs="Arial"/>
          <w:sz w:val="18"/>
          <w:szCs w:val="18"/>
          <w:lang w:val="cs-CZ"/>
        </w:rPr>
        <w:t xml:space="preserve">, následován </w:t>
      </w:r>
      <w:proofErr w:type="spellStart"/>
      <w:r w:rsidR="00806028" w:rsidRPr="6F676ED9">
        <w:rPr>
          <w:rFonts w:ascii="Arial" w:hAnsi="Arial" w:cs="Arial"/>
          <w:sz w:val="18"/>
          <w:szCs w:val="18"/>
          <w:lang w:val="cs-CZ"/>
        </w:rPr>
        <w:t>předpronájmem</w:t>
      </w:r>
      <w:proofErr w:type="spellEnd"/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 americké společnosti </w:t>
      </w:r>
      <w:r w:rsidR="008D4963" w:rsidRPr="6F676ED9">
        <w:rPr>
          <w:rFonts w:ascii="Arial" w:hAnsi="Arial" w:cs="Arial"/>
          <w:sz w:val="18"/>
          <w:szCs w:val="18"/>
          <w:lang w:val="cs-CZ"/>
        </w:rPr>
        <w:t xml:space="preserve">z oblasti zubního </w:t>
      </w:r>
      <w:r w:rsidR="00CD53F9">
        <w:rPr>
          <w:rFonts w:ascii="Arial" w:hAnsi="Arial" w:cs="Arial"/>
          <w:sz w:val="18"/>
          <w:szCs w:val="18"/>
          <w:lang w:val="cs-CZ"/>
        </w:rPr>
        <w:t>lékařství</w:t>
      </w:r>
      <w:r w:rsidR="008D4963" w:rsidRPr="6F676ED9">
        <w:rPr>
          <w:rFonts w:ascii="Arial" w:hAnsi="Arial" w:cs="Arial"/>
          <w:sz w:val="18"/>
          <w:szCs w:val="18"/>
          <w:lang w:val="cs-CZ"/>
        </w:rPr>
        <w:t xml:space="preserve"> </w:t>
      </w:r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(3 500 </w:t>
      </w:r>
      <w:r w:rsidR="008D4963" w:rsidRPr="6F676ED9">
        <w:rPr>
          <w:rFonts w:ascii="Arial" w:hAnsi="Arial" w:cs="Arial"/>
          <w:sz w:val="18"/>
          <w:szCs w:val="18"/>
          <w:lang w:val="cs-CZ"/>
        </w:rPr>
        <w:t>m</w:t>
      </w:r>
      <w:r w:rsidR="008D4963" w:rsidRPr="6F676ED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) v budově </w:t>
      </w:r>
      <w:proofErr w:type="spellStart"/>
      <w:r w:rsidR="00806028" w:rsidRPr="6F676ED9">
        <w:rPr>
          <w:rFonts w:ascii="Arial" w:hAnsi="Arial" w:cs="Arial"/>
          <w:sz w:val="18"/>
          <w:szCs w:val="18"/>
          <w:lang w:val="cs-CZ"/>
        </w:rPr>
        <w:lastRenderedPageBreak/>
        <w:t>Dock</w:t>
      </w:r>
      <w:proofErr w:type="spellEnd"/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 in </w:t>
      </w:r>
      <w:proofErr w:type="spellStart"/>
      <w:r w:rsidR="00806028" w:rsidRPr="6F676ED9">
        <w:rPr>
          <w:rFonts w:ascii="Arial" w:hAnsi="Arial" w:cs="Arial"/>
          <w:sz w:val="18"/>
          <w:szCs w:val="18"/>
          <w:lang w:val="cs-CZ"/>
        </w:rPr>
        <w:t>Five</w:t>
      </w:r>
      <w:proofErr w:type="spellEnd"/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 v Praze 8</w:t>
      </w:r>
      <w:r w:rsidR="008D4963" w:rsidRPr="6F676ED9">
        <w:rPr>
          <w:rFonts w:ascii="Arial" w:hAnsi="Arial" w:cs="Arial"/>
          <w:sz w:val="18"/>
          <w:szCs w:val="18"/>
          <w:lang w:val="cs-CZ"/>
        </w:rPr>
        <w:t xml:space="preserve">, novým pronájem VŠCHT </w:t>
      </w:r>
      <w:r w:rsidR="00806028" w:rsidRPr="6F676ED9">
        <w:rPr>
          <w:rFonts w:ascii="Arial" w:hAnsi="Arial" w:cs="Arial"/>
          <w:sz w:val="18"/>
          <w:szCs w:val="18"/>
          <w:lang w:val="cs-CZ"/>
        </w:rPr>
        <w:t>(</w:t>
      </w:r>
      <w:r w:rsidR="008D4963" w:rsidRPr="6F676ED9">
        <w:rPr>
          <w:rFonts w:ascii="Arial" w:hAnsi="Arial" w:cs="Arial"/>
          <w:sz w:val="18"/>
          <w:szCs w:val="18"/>
          <w:lang w:val="cs-CZ"/>
        </w:rPr>
        <w:t>3 200</w:t>
      </w:r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 </w:t>
      </w:r>
      <w:r w:rsidR="008D4963" w:rsidRPr="6F676ED9">
        <w:rPr>
          <w:rFonts w:ascii="Arial" w:hAnsi="Arial" w:cs="Arial"/>
          <w:sz w:val="18"/>
          <w:szCs w:val="18"/>
          <w:lang w:val="cs-CZ"/>
        </w:rPr>
        <w:t>m</w:t>
      </w:r>
      <w:r w:rsidR="008D4963" w:rsidRPr="6F676ED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806028" w:rsidRPr="6F676ED9">
        <w:rPr>
          <w:rFonts w:ascii="Arial" w:hAnsi="Arial" w:cs="Arial"/>
          <w:sz w:val="18"/>
          <w:szCs w:val="18"/>
          <w:lang w:val="cs-CZ"/>
        </w:rPr>
        <w:t>)</w:t>
      </w:r>
      <w:r w:rsidR="008D4963" w:rsidRPr="6F676ED9">
        <w:rPr>
          <w:rFonts w:ascii="Arial" w:hAnsi="Arial" w:cs="Arial"/>
          <w:sz w:val="18"/>
          <w:szCs w:val="18"/>
          <w:lang w:val="cs-CZ"/>
        </w:rPr>
        <w:t xml:space="preserve"> v budově Jankovcova 23 v Praze 7 a </w:t>
      </w:r>
      <w:proofErr w:type="spellStart"/>
      <w:r w:rsidR="008D4963" w:rsidRPr="6F676ED9">
        <w:rPr>
          <w:rFonts w:ascii="Arial" w:hAnsi="Arial" w:cs="Arial"/>
          <w:sz w:val="18"/>
          <w:szCs w:val="18"/>
          <w:lang w:val="cs-CZ"/>
        </w:rPr>
        <w:t>podpronájmem</w:t>
      </w:r>
      <w:proofErr w:type="spellEnd"/>
      <w:r w:rsidR="008D4963" w:rsidRPr="6F676ED9">
        <w:rPr>
          <w:rFonts w:ascii="Arial" w:hAnsi="Arial" w:cs="Arial"/>
          <w:sz w:val="18"/>
          <w:szCs w:val="18"/>
          <w:lang w:val="cs-CZ"/>
        </w:rPr>
        <w:t xml:space="preserve"> společnosti Košík ze skupiny </w:t>
      </w:r>
      <w:proofErr w:type="spellStart"/>
      <w:r w:rsidR="008D4963" w:rsidRPr="6F676ED9">
        <w:rPr>
          <w:rFonts w:ascii="Arial" w:hAnsi="Arial" w:cs="Arial"/>
          <w:sz w:val="18"/>
          <w:szCs w:val="18"/>
          <w:lang w:val="cs-CZ"/>
        </w:rPr>
        <w:t>Rockaway</w:t>
      </w:r>
      <w:proofErr w:type="spellEnd"/>
      <w:r w:rsidR="00806028" w:rsidRPr="6F676ED9">
        <w:rPr>
          <w:rFonts w:ascii="Arial" w:hAnsi="Arial" w:cs="Arial"/>
          <w:sz w:val="18"/>
          <w:szCs w:val="18"/>
          <w:lang w:val="cs-CZ"/>
        </w:rPr>
        <w:t xml:space="preserve"> </w:t>
      </w:r>
      <w:r w:rsidR="008D4963" w:rsidRPr="6F676ED9">
        <w:rPr>
          <w:rFonts w:ascii="Arial" w:hAnsi="Arial" w:cs="Arial"/>
          <w:sz w:val="18"/>
          <w:szCs w:val="18"/>
          <w:lang w:val="cs-CZ"/>
        </w:rPr>
        <w:t>(3 000 m</w:t>
      </w:r>
      <w:r w:rsidR="008D4963" w:rsidRPr="6F676ED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8D4963" w:rsidRPr="6F676ED9">
        <w:rPr>
          <w:rFonts w:ascii="Arial" w:hAnsi="Arial" w:cs="Arial"/>
          <w:sz w:val="18"/>
          <w:szCs w:val="18"/>
          <w:lang w:val="cs-CZ"/>
        </w:rPr>
        <w:t xml:space="preserve">) v budově </w:t>
      </w:r>
      <w:proofErr w:type="spellStart"/>
      <w:r w:rsidR="008D4963" w:rsidRPr="6F676ED9">
        <w:rPr>
          <w:rFonts w:ascii="Arial" w:hAnsi="Arial" w:cs="Arial"/>
          <w:sz w:val="18"/>
          <w:szCs w:val="18"/>
          <w:lang w:val="cs-CZ"/>
        </w:rPr>
        <w:t>Blox</w:t>
      </w:r>
      <w:proofErr w:type="spellEnd"/>
      <w:r w:rsidR="008D4963" w:rsidRPr="6F676ED9">
        <w:rPr>
          <w:rFonts w:ascii="Arial" w:hAnsi="Arial" w:cs="Arial"/>
          <w:sz w:val="18"/>
          <w:szCs w:val="18"/>
          <w:lang w:val="cs-CZ"/>
        </w:rPr>
        <w:t xml:space="preserve"> v Praze 6. </w:t>
      </w:r>
    </w:p>
    <w:p w14:paraId="05B3352E" w14:textId="75CC256D" w:rsidR="00702258" w:rsidRPr="00B6639E" w:rsidRDefault="003C5EF3" w:rsidP="00E549F3">
      <w:pPr>
        <w:pStyle w:val="Nadpis1"/>
        <w:tabs>
          <w:tab w:val="center" w:pos="5220"/>
        </w:tabs>
        <w:rPr>
          <w:lang w:val="cs-CZ"/>
        </w:rPr>
      </w:pPr>
      <w:r w:rsidRPr="00B6639E">
        <w:rPr>
          <w:lang w:val="cs-CZ"/>
        </w:rPr>
        <w:t>Podíl neobsazené plochy</w:t>
      </w:r>
      <w:r w:rsidR="00EE5442">
        <w:rPr>
          <w:lang w:val="cs-CZ"/>
        </w:rPr>
        <w:t xml:space="preserve"> a čistá absorpce</w:t>
      </w:r>
      <w:r w:rsidR="00E549F3" w:rsidRPr="00B6639E">
        <w:rPr>
          <w:lang w:val="cs-CZ"/>
        </w:rPr>
        <w:tab/>
      </w:r>
    </w:p>
    <w:p w14:paraId="4FB81617" w14:textId="77777777" w:rsidR="00EE5442" w:rsidRDefault="00EE5442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Od 2. čtvrtletí 2021 bude PRF pravidelně zahrnovat čistou absorpci mezi klíčové ukazatele kancelářského trhu. Čistá absorpce vyjadřuje změnu v množství obsazených kancelářských prostor na trhu za dané období. V 2. čtvrtletí 2021 byla čistá absorpce pozitivní a dosáhla hodnoty 38 100 </w:t>
      </w:r>
      <w:r w:rsidRPr="00B6639E">
        <w:rPr>
          <w:rFonts w:ascii="Arial" w:hAnsi="Arial" w:cs="Arial"/>
          <w:sz w:val="18"/>
          <w:szCs w:val="18"/>
          <w:lang w:val="cs-CZ"/>
        </w:rPr>
        <w:t>m</w:t>
      </w:r>
      <w:r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>
        <w:rPr>
          <w:rFonts w:ascii="Arial" w:hAnsi="Arial" w:cs="Arial"/>
          <w:sz w:val="18"/>
          <w:szCs w:val="18"/>
          <w:lang w:val="cs-CZ"/>
        </w:rPr>
        <w:t xml:space="preserve">. </w:t>
      </w:r>
    </w:p>
    <w:p w14:paraId="6A0F37BB" w14:textId="0D84B9BB" w:rsidR="001C2214" w:rsidRPr="00B6639E" w:rsidRDefault="00EE5442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Nicméně vzhledem k poměrně vysokému množství nově dokončených ploch, které převýšilo úroveň čisté </w:t>
      </w:r>
      <w:r w:rsidR="004C64EF">
        <w:rPr>
          <w:rFonts w:ascii="Arial" w:hAnsi="Arial" w:cs="Arial"/>
          <w:sz w:val="18"/>
          <w:szCs w:val="18"/>
          <w:lang w:val="cs-CZ"/>
        </w:rPr>
        <w:t>absorpce</w:t>
      </w:r>
      <w:r>
        <w:rPr>
          <w:rFonts w:ascii="Arial" w:hAnsi="Arial" w:cs="Arial"/>
          <w:sz w:val="18"/>
          <w:szCs w:val="18"/>
          <w:lang w:val="cs-CZ"/>
        </w:rPr>
        <w:t>, mírně v</w:t>
      </w:r>
      <w:r w:rsidR="004C64EF">
        <w:rPr>
          <w:rFonts w:ascii="Arial" w:hAnsi="Arial" w:cs="Arial"/>
          <w:sz w:val="18"/>
          <w:szCs w:val="18"/>
          <w:lang w:val="cs-CZ"/>
        </w:rPr>
        <w:t>zrostla míra neobsazenosti na 7,</w:t>
      </w:r>
      <w:r>
        <w:rPr>
          <w:rFonts w:ascii="Arial" w:hAnsi="Arial" w:cs="Arial"/>
          <w:sz w:val="18"/>
          <w:szCs w:val="18"/>
          <w:lang w:val="cs-CZ"/>
        </w:rPr>
        <w:t>8 % (</w:t>
      </w:r>
      <w:r w:rsidR="009F54C1" w:rsidRPr="00B6639E">
        <w:rPr>
          <w:rFonts w:ascii="Arial" w:hAnsi="Arial" w:cs="Arial"/>
          <w:sz w:val="18"/>
          <w:szCs w:val="18"/>
          <w:lang w:val="cs-CZ"/>
        </w:rPr>
        <w:t xml:space="preserve">nárůst o </w:t>
      </w:r>
      <w:r w:rsidR="008D4963">
        <w:rPr>
          <w:rFonts w:ascii="Arial" w:hAnsi="Arial" w:cs="Arial"/>
          <w:sz w:val="18"/>
          <w:szCs w:val="18"/>
          <w:lang w:val="cs-CZ"/>
        </w:rPr>
        <w:t>2</w:t>
      </w:r>
      <w:r w:rsidR="009F54C1" w:rsidRPr="00B6639E">
        <w:rPr>
          <w:rFonts w:ascii="Arial" w:hAnsi="Arial" w:cs="Arial"/>
          <w:sz w:val="18"/>
          <w:szCs w:val="18"/>
          <w:lang w:val="cs-CZ"/>
        </w:rPr>
        <w:t>0 bazických bodů</w:t>
      </w:r>
      <w:r>
        <w:rPr>
          <w:rFonts w:ascii="Arial" w:hAnsi="Arial" w:cs="Arial"/>
          <w:sz w:val="18"/>
          <w:szCs w:val="18"/>
          <w:lang w:val="cs-CZ"/>
        </w:rPr>
        <w:t xml:space="preserve"> oproti minulému čtvrtletí)</w:t>
      </w:r>
      <w:r w:rsidR="009F54C1" w:rsidRPr="00B6639E">
        <w:rPr>
          <w:rFonts w:ascii="Arial" w:hAnsi="Arial" w:cs="Arial"/>
          <w:sz w:val="18"/>
          <w:szCs w:val="18"/>
          <w:lang w:val="cs-CZ"/>
        </w:rPr>
        <w:t xml:space="preserve">. 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Celkový objem volných kanceláří dosáhl </w:t>
      </w:r>
      <w:r>
        <w:rPr>
          <w:rFonts w:ascii="Arial" w:hAnsi="Arial" w:cs="Arial"/>
          <w:sz w:val="18"/>
          <w:szCs w:val="18"/>
          <w:lang w:val="cs-CZ"/>
        </w:rPr>
        <w:br/>
      </w:r>
      <w:r w:rsidR="008D4963">
        <w:rPr>
          <w:rFonts w:ascii="Arial" w:hAnsi="Arial" w:cs="Arial"/>
          <w:sz w:val="18"/>
          <w:szCs w:val="18"/>
          <w:lang w:val="cs-CZ"/>
        </w:rPr>
        <w:t>291 400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m</w:t>
      </w:r>
      <w:r w:rsidR="001C2214"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. Největší objem dostupných kanceláří byl v Praze </w:t>
      </w:r>
      <w:r w:rsidR="009F54C1" w:rsidRPr="00B6639E">
        <w:rPr>
          <w:rFonts w:ascii="Arial" w:hAnsi="Arial" w:cs="Arial"/>
          <w:sz w:val="18"/>
          <w:szCs w:val="18"/>
          <w:lang w:val="cs-CZ"/>
        </w:rPr>
        <w:t>4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s</w:t>
      </w:r>
      <w:r w:rsidR="008D4963">
        <w:rPr>
          <w:rFonts w:ascii="Arial" w:hAnsi="Arial" w:cs="Arial"/>
          <w:sz w:val="18"/>
          <w:szCs w:val="18"/>
          <w:lang w:val="cs-CZ"/>
        </w:rPr>
        <w:t> 70 900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m</w:t>
      </w:r>
      <w:r w:rsidR="001C2214"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, což představuje míru neobsazenosti na úrovni </w:t>
      </w:r>
      <w:r w:rsidR="008D4963">
        <w:rPr>
          <w:rFonts w:ascii="Arial" w:hAnsi="Arial" w:cs="Arial"/>
          <w:sz w:val="18"/>
          <w:szCs w:val="18"/>
          <w:lang w:val="cs-CZ"/>
        </w:rPr>
        <w:t>7</w:t>
      </w:r>
      <w:r w:rsidR="001C2214" w:rsidRPr="00B6639E">
        <w:rPr>
          <w:rFonts w:ascii="Arial" w:hAnsi="Arial" w:cs="Arial"/>
          <w:sz w:val="18"/>
          <w:szCs w:val="18"/>
          <w:lang w:val="cs-CZ"/>
        </w:rPr>
        <w:t>,</w:t>
      </w:r>
      <w:r w:rsidR="008D4963">
        <w:rPr>
          <w:rFonts w:ascii="Arial" w:hAnsi="Arial" w:cs="Arial"/>
          <w:sz w:val="18"/>
          <w:szCs w:val="18"/>
          <w:lang w:val="cs-CZ"/>
        </w:rPr>
        <w:t>3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%, následovala Praha </w:t>
      </w:r>
      <w:r w:rsidR="009F54C1" w:rsidRPr="00B6639E">
        <w:rPr>
          <w:rFonts w:ascii="Arial" w:hAnsi="Arial" w:cs="Arial"/>
          <w:sz w:val="18"/>
          <w:szCs w:val="18"/>
          <w:lang w:val="cs-CZ"/>
        </w:rPr>
        <w:t>5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s </w:t>
      </w:r>
      <w:r w:rsidR="009F54C1" w:rsidRPr="00B6639E">
        <w:rPr>
          <w:rFonts w:ascii="Arial" w:hAnsi="Arial" w:cs="Arial"/>
          <w:sz w:val="18"/>
          <w:szCs w:val="18"/>
          <w:lang w:val="cs-CZ"/>
        </w:rPr>
        <w:t>57</w:t>
      </w:r>
      <w:r w:rsidR="001C2214" w:rsidRPr="00B6639E">
        <w:rPr>
          <w:rFonts w:ascii="Arial" w:hAnsi="Arial" w:cs="Arial"/>
          <w:sz w:val="18"/>
          <w:szCs w:val="18"/>
          <w:lang w:val="cs-CZ"/>
        </w:rPr>
        <w:t> </w:t>
      </w:r>
      <w:r w:rsidR="008D4963">
        <w:rPr>
          <w:rFonts w:ascii="Arial" w:hAnsi="Arial" w:cs="Arial"/>
          <w:sz w:val="18"/>
          <w:szCs w:val="18"/>
          <w:lang w:val="cs-CZ"/>
        </w:rPr>
        <w:t>3</w:t>
      </w:r>
      <w:r w:rsidR="001C2214" w:rsidRPr="00B6639E">
        <w:rPr>
          <w:rFonts w:ascii="Arial" w:hAnsi="Arial" w:cs="Arial"/>
          <w:sz w:val="18"/>
          <w:szCs w:val="18"/>
          <w:lang w:val="cs-CZ"/>
        </w:rPr>
        <w:t>00 m</w:t>
      </w:r>
      <w:r w:rsidR="001C2214"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a mírou neobsazenosti </w:t>
      </w:r>
      <w:r w:rsidR="009F54C1" w:rsidRPr="00B6639E">
        <w:rPr>
          <w:rFonts w:ascii="Arial" w:hAnsi="Arial" w:cs="Arial"/>
          <w:sz w:val="18"/>
          <w:szCs w:val="18"/>
          <w:lang w:val="cs-CZ"/>
        </w:rPr>
        <w:t>9</w:t>
      </w:r>
      <w:r w:rsidR="001C2214" w:rsidRPr="00B6639E">
        <w:rPr>
          <w:rFonts w:ascii="Arial" w:hAnsi="Arial" w:cs="Arial"/>
          <w:sz w:val="18"/>
          <w:szCs w:val="18"/>
          <w:lang w:val="cs-CZ"/>
        </w:rPr>
        <w:t>,</w:t>
      </w:r>
      <w:r w:rsidR="008D4963">
        <w:rPr>
          <w:rFonts w:ascii="Arial" w:hAnsi="Arial" w:cs="Arial"/>
          <w:sz w:val="18"/>
          <w:szCs w:val="18"/>
          <w:lang w:val="cs-CZ"/>
        </w:rPr>
        <w:t>0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%. Nejméně volných kanceláří bylo v Praze </w:t>
      </w:r>
      <w:r w:rsidR="008D4963">
        <w:rPr>
          <w:rFonts w:ascii="Arial" w:hAnsi="Arial" w:cs="Arial"/>
          <w:sz w:val="18"/>
          <w:szCs w:val="18"/>
          <w:lang w:val="cs-CZ"/>
        </w:rPr>
        <w:t>2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s</w:t>
      </w:r>
      <w:r w:rsidR="008D4963">
        <w:rPr>
          <w:rFonts w:ascii="Arial" w:hAnsi="Arial" w:cs="Arial"/>
          <w:sz w:val="18"/>
          <w:szCs w:val="18"/>
          <w:lang w:val="cs-CZ"/>
        </w:rPr>
        <w:t> 5 900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m</w:t>
      </w:r>
      <w:r w:rsidR="001C2214"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(míra neobsazenosti </w:t>
      </w:r>
      <w:r w:rsidR="008D4963">
        <w:rPr>
          <w:rFonts w:ascii="Arial" w:hAnsi="Arial" w:cs="Arial"/>
          <w:sz w:val="18"/>
          <w:szCs w:val="18"/>
          <w:lang w:val="cs-CZ"/>
        </w:rPr>
        <w:t>4,4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%) a Praze </w:t>
      </w:r>
      <w:r w:rsidR="008D4963">
        <w:rPr>
          <w:rFonts w:ascii="Arial" w:hAnsi="Arial" w:cs="Arial"/>
          <w:sz w:val="18"/>
          <w:szCs w:val="18"/>
          <w:lang w:val="cs-CZ"/>
        </w:rPr>
        <w:t>3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s</w:t>
      </w:r>
      <w:r w:rsidR="008D4963">
        <w:rPr>
          <w:rFonts w:ascii="Arial" w:hAnsi="Arial" w:cs="Arial"/>
          <w:sz w:val="18"/>
          <w:szCs w:val="18"/>
          <w:lang w:val="cs-CZ"/>
        </w:rPr>
        <w:t> 7 400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m</w:t>
      </w:r>
      <w:r w:rsidR="001C2214"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(</w:t>
      </w:r>
      <w:r w:rsidR="00F06195" w:rsidRPr="00B6639E">
        <w:rPr>
          <w:rFonts w:ascii="Arial" w:hAnsi="Arial" w:cs="Arial"/>
          <w:sz w:val="18"/>
          <w:szCs w:val="18"/>
          <w:lang w:val="cs-CZ"/>
        </w:rPr>
        <w:t>6</w:t>
      </w:r>
      <w:r w:rsidR="001C2214" w:rsidRPr="00B6639E">
        <w:rPr>
          <w:rFonts w:ascii="Arial" w:hAnsi="Arial" w:cs="Arial"/>
          <w:sz w:val="18"/>
          <w:szCs w:val="18"/>
          <w:lang w:val="cs-CZ"/>
        </w:rPr>
        <w:t>,</w:t>
      </w:r>
      <w:r w:rsidR="008D4963">
        <w:rPr>
          <w:rFonts w:ascii="Arial" w:hAnsi="Arial" w:cs="Arial"/>
          <w:sz w:val="18"/>
          <w:szCs w:val="18"/>
          <w:lang w:val="cs-CZ"/>
        </w:rPr>
        <w:t>1</w:t>
      </w:r>
      <w:r w:rsidR="001C2214" w:rsidRPr="00B6639E">
        <w:rPr>
          <w:rFonts w:ascii="Arial" w:hAnsi="Arial" w:cs="Arial"/>
          <w:sz w:val="18"/>
          <w:szCs w:val="18"/>
          <w:lang w:val="cs-CZ"/>
        </w:rPr>
        <w:t> %).</w:t>
      </w:r>
    </w:p>
    <w:p w14:paraId="4DF851E3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t>Nájemné</w:t>
      </w:r>
    </w:p>
    <w:p w14:paraId="07AB4EBE" w14:textId="40002CF5" w:rsidR="001C2214" w:rsidRPr="00B6639E" w:rsidRDefault="00947001" w:rsidP="00947001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00B6639E">
        <w:rPr>
          <w:rFonts w:ascii="Arial" w:hAnsi="Arial"/>
          <w:sz w:val="18"/>
          <w:szCs w:val="18"/>
          <w:lang w:val="cs-CZ"/>
        </w:rPr>
        <w:t xml:space="preserve">I přes pokračující zvyšující se neobsazenost zůstalo </w:t>
      </w:r>
      <w:r w:rsidR="008471F1" w:rsidRPr="00B6639E">
        <w:rPr>
          <w:rFonts w:ascii="Arial" w:hAnsi="Arial"/>
          <w:sz w:val="18"/>
          <w:szCs w:val="18"/>
          <w:lang w:val="cs-CZ"/>
        </w:rPr>
        <w:t>n</w:t>
      </w:r>
      <w:r w:rsidR="001C2214" w:rsidRPr="00B6639E">
        <w:rPr>
          <w:rFonts w:ascii="Arial" w:hAnsi="Arial"/>
          <w:sz w:val="18"/>
          <w:szCs w:val="18"/>
          <w:lang w:val="cs-CZ"/>
        </w:rPr>
        <w:t xml:space="preserve">ejvyšší dosahované nájemné </w:t>
      </w:r>
      <w:r w:rsidRPr="00B6639E">
        <w:rPr>
          <w:rFonts w:ascii="Arial" w:hAnsi="Arial"/>
          <w:sz w:val="18"/>
          <w:szCs w:val="18"/>
          <w:lang w:val="cs-CZ"/>
        </w:rPr>
        <w:t>v </w:t>
      </w:r>
      <w:r w:rsidR="008D4963">
        <w:rPr>
          <w:rFonts w:ascii="Arial" w:hAnsi="Arial"/>
          <w:sz w:val="18"/>
          <w:szCs w:val="18"/>
          <w:lang w:val="cs-CZ"/>
        </w:rPr>
        <w:t>druhém</w:t>
      </w:r>
      <w:r w:rsidRPr="00B6639E">
        <w:rPr>
          <w:rFonts w:ascii="Arial" w:hAnsi="Arial"/>
          <w:sz w:val="18"/>
          <w:szCs w:val="18"/>
          <w:lang w:val="cs-CZ"/>
        </w:rPr>
        <w:t xml:space="preserve"> čtvrtletí roku 2021 </w:t>
      </w:r>
      <w:r w:rsidR="60D82BA2" w:rsidRPr="00B6639E">
        <w:rPr>
          <w:rFonts w:ascii="Arial" w:hAnsi="Arial"/>
          <w:sz w:val="18"/>
          <w:szCs w:val="18"/>
          <w:lang w:val="cs-CZ"/>
        </w:rPr>
        <w:t xml:space="preserve">stabilní a </w:t>
      </w:r>
      <w:r w:rsidR="001C2214" w:rsidRPr="00B6639E">
        <w:rPr>
          <w:rFonts w:ascii="Arial" w:hAnsi="Arial"/>
          <w:sz w:val="18"/>
          <w:szCs w:val="18"/>
          <w:lang w:val="cs-CZ"/>
        </w:rPr>
        <w:t xml:space="preserve">pohybovalo </w:t>
      </w:r>
      <w:r w:rsidR="00E05D76" w:rsidRPr="00B6639E">
        <w:rPr>
          <w:rFonts w:ascii="Arial" w:hAnsi="Arial"/>
          <w:sz w:val="18"/>
          <w:szCs w:val="18"/>
          <w:lang w:val="cs-CZ"/>
        </w:rPr>
        <w:t xml:space="preserve">se </w:t>
      </w:r>
      <w:r w:rsidR="001C2214" w:rsidRPr="00B6639E">
        <w:rPr>
          <w:rFonts w:ascii="Arial" w:hAnsi="Arial"/>
          <w:sz w:val="18"/>
          <w:szCs w:val="18"/>
          <w:lang w:val="cs-CZ"/>
        </w:rPr>
        <w:t>v rozmezí 22,</w:t>
      </w:r>
      <w:r w:rsidR="00562597" w:rsidRPr="00B6639E">
        <w:rPr>
          <w:rFonts w:ascii="Arial" w:hAnsi="Arial"/>
          <w:sz w:val="18"/>
          <w:szCs w:val="18"/>
          <w:lang w:val="cs-CZ"/>
        </w:rPr>
        <w:t xml:space="preserve">00 </w:t>
      </w:r>
      <w:r w:rsidR="001C2214" w:rsidRPr="00B6639E">
        <w:rPr>
          <w:rFonts w:ascii="Arial" w:hAnsi="Arial"/>
          <w:sz w:val="18"/>
          <w:szCs w:val="18"/>
          <w:lang w:val="cs-CZ"/>
        </w:rPr>
        <w:t xml:space="preserve">až </w:t>
      </w:r>
      <w:r w:rsidR="00562597" w:rsidRPr="00B6639E">
        <w:rPr>
          <w:rFonts w:ascii="Arial" w:hAnsi="Arial"/>
          <w:sz w:val="18"/>
          <w:szCs w:val="18"/>
          <w:lang w:val="cs-CZ"/>
        </w:rPr>
        <w:t>22</w:t>
      </w:r>
      <w:r w:rsidR="001C2214" w:rsidRPr="00B6639E">
        <w:rPr>
          <w:rFonts w:ascii="Arial" w:hAnsi="Arial"/>
          <w:sz w:val="18"/>
          <w:szCs w:val="18"/>
          <w:lang w:val="cs-CZ"/>
        </w:rPr>
        <w:t>,</w:t>
      </w:r>
      <w:r w:rsidR="00562597" w:rsidRPr="00B6639E">
        <w:rPr>
          <w:rFonts w:ascii="Arial" w:hAnsi="Arial"/>
          <w:sz w:val="18"/>
          <w:szCs w:val="18"/>
          <w:lang w:val="cs-CZ"/>
        </w:rPr>
        <w:t>50 </w:t>
      </w:r>
      <w:r w:rsidR="00E05D76" w:rsidRPr="00B6639E">
        <w:rPr>
          <w:rFonts w:ascii="Arial" w:hAnsi="Arial"/>
          <w:sz w:val="18"/>
          <w:szCs w:val="18"/>
          <w:lang w:val="cs-CZ"/>
        </w:rPr>
        <w:t xml:space="preserve">eur </w:t>
      </w:r>
      <w:r w:rsidR="001C2214" w:rsidRPr="00B6639E">
        <w:rPr>
          <w:rFonts w:ascii="Arial" w:hAnsi="Arial"/>
          <w:sz w:val="18"/>
          <w:szCs w:val="18"/>
          <w:lang w:val="cs-CZ"/>
        </w:rPr>
        <w:t xml:space="preserve">za </w:t>
      </w:r>
      <w:r w:rsidR="001C2214" w:rsidRPr="00B6639E">
        <w:rPr>
          <w:rFonts w:ascii="Arial" w:hAnsi="Arial" w:cs="Arial"/>
          <w:sz w:val="18"/>
          <w:szCs w:val="18"/>
          <w:lang w:val="cs-CZ"/>
        </w:rPr>
        <w:t>m</w:t>
      </w:r>
      <w:r w:rsidR="001C2214" w:rsidRPr="00B6639E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="001C2214" w:rsidRPr="00B6639E">
        <w:rPr>
          <w:rFonts w:ascii="Arial" w:hAnsi="Arial"/>
          <w:sz w:val="18"/>
          <w:szCs w:val="18"/>
          <w:lang w:val="cs-CZ"/>
        </w:rPr>
        <w:t>na měsíc v centru města, 15,50–17,00 </w:t>
      </w:r>
      <w:r w:rsidR="00E05D76" w:rsidRPr="00B6639E">
        <w:rPr>
          <w:rFonts w:ascii="Arial" w:hAnsi="Arial"/>
          <w:sz w:val="18"/>
          <w:szCs w:val="18"/>
          <w:lang w:val="cs-CZ"/>
        </w:rPr>
        <w:t xml:space="preserve">eur </w:t>
      </w:r>
      <w:r w:rsidR="001C2214" w:rsidRPr="00B6639E">
        <w:rPr>
          <w:rFonts w:ascii="Arial" w:hAnsi="Arial"/>
          <w:sz w:val="18"/>
          <w:szCs w:val="18"/>
          <w:lang w:val="cs-CZ"/>
        </w:rPr>
        <w:t xml:space="preserve">za </w:t>
      </w:r>
      <w:r w:rsidR="001C2214" w:rsidRPr="00B6639E">
        <w:rPr>
          <w:rFonts w:ascii="Arial" w:hAnsi="Arial" w:cs="Arial"/>
          <w:sz w:val="18"/>
          <w:szCs w:val="18"/>
          <w:lang w:val="cs-CZ"/>
        </w:rPr>
        <w:t>m</w:t>
      </w:r>
      <w:r w:rsidR="001C2214" w:rsidRPr="00B6639E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="001C2214" w:rsidRPr="00B6639E">
        <w:rPr>
          <w:rFonts w:ascii="Arial" w:hAnsi="Arial"/>
          <w:sz w:val="18"/>
          <w:szCs w:val="18"/>
          <w:lang w:val="cs-CZ"/>
        </w:rPr>
        <w:t>na měsíc ve vnitřních a 13,50–15,00 </w:t>
      </w:r>
      <w:r w:rsidR="00E05D76" w:rsidRPr="00B6639E">
        <w:rPr>
          <w:rFonts w:ascii="Arial" w:hAnsi="Arial"/>
          <w:sz w:val="18"/>
          <w:szCs w:val="18"/>
          <w:lang w:val="cs-CZ"/>
        </w:rPr>
        <w:t xml:space="preserve">eur </w:t>
      </w:r>
      <w:r w:rsidR="001C2214" w:rsidRPr="00B6639E">
        <w:rPr>
          <w:rFonts w:ascii="Arial" w:hAnsi="Arial"/>
          <w:sz w:val="18"/>
          <w:szCs w:val="18"/>
          <w:lang w:val="cs-CZ"/>
        </w:rPr>
        <w:t xml:space="preserve">za </w:t>
      </w:r>
      <w:r w:rsidR="001C2214" w:rsidRPr="00B6639E">
        <w:rPr>
          <w:rFonts w:ascii="Arial" w:hAnsi="Arial" w:cs="Arial"/>
          <w:sz w:val="18"/>
          <w:szCs w:val="18"/>
          <w:lang w:val="cs-CZ"/>
        </w:rPr>
        <w:t>m</w:t>
      </w:r>
      <w:r w:rsidR="001C2214" w:rsidRPr="00B6639E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="001C2214" w:rsidRPr="00B6639E">
        <w:rPr>
          <w:rFonts w:ascii="Arial" w:hAnsi="Arial"/>
          <w:sz w:val="18"/>
          <w:szCs w:val="18"/>
          <w:lang w:val="cs-CZ"/>
        </w:rPr>
        <w:t>na měsíc ve vnějších částech města.</w:t>
      </w:r>
    </w:p>
    <w:p w14:paraId="1F856D8F" w14:textId="77777777" w:rsidR="00437AF0" w:rsidRPr="00B6639E" w:rsidRDefault="00437AF0" w:rsidP="00E82110">
      <w:pPr>
        <w:pStyle w:val="Nadpis1"/>
        <w:pageBreakBefore/>
        <w:rPr>
          <w:lang w:val="cs-CZ"/>
        </w:rPr>
      </w:pPr>
    </w:p>
    <w:p w14:paraId="2F2D6951" w14:textId="7ABC2932" w:rsidR="008A0E62" w:rsidRPr="00B6639E" w:rsidRDefault="008A0E62" w:rsidP="00461A74">
      <w:pPr>
        <w:rPr>
          <w:lang w:val="cs-CZ"/>
        </w:rPr>
        <w:sectPr w:rsidR="008A0E62" w:rsidRPr="00B6639E" w:rsidSect="006F1B93">
          <w:type w:val="continuous"/>
          <w:pgSz w:w="11906" w:h="16838"/>
          <w:pgMar w:top="720" w:right="746" w:bottom="720" w:left="720" w:header="706" w:footer="224" w:gutter="0"/>
          <w:cols w:space="708"/>
          <w:docGrid w:linePitch="360"/>
        </w:sectPr>
      </w:pPr>
    </w:p>
    <w:p w14:paraId="7DD4CE3F" w14:textId="77777777" w:rsidR="001C2214" w:rsidRPr="00B6639E" w:rsidRDefault="001C2214" w:rsidP="001C2214">
      <w:pPr>
        <w:pStyle w:val="Nadpis1"/>
        <w:rPr>
          <w:lang w:val="cs-CZ"/>
        </w:rPr>
      </w:pPr>
      <w:proofErr w:type="spellStart"/>
      <w:r w:rsidRPr="00B6639E">
        <w:rPr>
          <w:lang w:val="cs-CZ"/>
        </w:rPr>
        <w:t>Reklasifikace</w:t>
      </w:r>
      <w:proofErr w:type="spellEnd"/>
      <w:r w:rsidRPr="00B6639E">
        <w:rPr>
          <w:lang w:val="cs-CZ"/>
        </w:rPr>
        <w:t xml:space="preserve"> kancelářských prostor</w:t>
      </w:r>
    </w:p>
    <w:p w14:paraId="67F954CC" w14:textId="77777777" w:rsidR="001C2214" w:rsidRPr="00B6639E" w:rsidRDefault="001C2214" w:rsidP="001C2214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63371782" w14:textId="07597A31" w:rsidR="001C2214" w:rsidRPr="00B6639E" w:rsidRDefault="001C2214" w:rsidP="001C2214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bookmarkStart w:id="1" w:name="_Hlk54109586"/>
      <w:r w:rsidRPr="00B6639E">
        <w:rPr>
          <w:rFonts w:ascii="Arial" w:hAnsi="Arial"/>
          <w:sz w:val="18"/>
          <w:szCs w:val="18"/>
          <w:lang w:val="cs-CZ"/>
        </w:rPr>
        <w:t xml:space="preserve">Členové Prague </w:t>
      </w:r>
      <w:proofErr w:type="spellStart"/>
      <w:r w:rsidRPr="00B6639E">
        <w:rPr>
          <w:rFonts w:ascii="Arial" w:hAnsi="Arial"/>
          <w:sz w:val="18"/>
          <w:szCs w:val="18"/>
          <w:lang w:val="cs-CZ"/>
        </w:rPr>
        <w:t>Research</w:t>
      </w:r>
      <w:proofErr w:type="spellEnd"/>
      <w:r w:rsidRPr="00B6639E">
        <w:rPr>
          <w:rFonts w:ascii="Arial" w:hAnsi="Arial"/>
          <w:sz w:val="18"/>
          <w:szCs w:val="18"/>
          <w:lang w:val="cs-CZ"/>
        </w:rPr>
        <w:t xml:space="preserve"> </w:t>
      </w:r>
      <w:proofErr w:type="spellStart"/>
      <w:r w:rsidRPr="00B6639E">
        <w:rPr>
          <w:rFonts w:ascii="Arial" w:hAnsi="Arial"/>
          <w:sz w:val="18"/>
          <w:szCs w:val="18"/>
          <w:lang w:val="cs-CZ"/>
        </w:rPr>
        <w:t>For</w:t>
      </w:r>
      <w:r w:rsidR="000E3F06" w:rsidRPr="00B6639E">
        <w:rPr>
          <w:rFonts w:ascii="Arial" w:hAnsi="Arial"/>
          <w:sz w:val="18"/>
          <w:szCs w:val="18"/>
          <w:lang w:val="cs-CZ"/>
        </w:rPr>
        <w:t>a</w:t>
      </w:r>
      <w:proofErr w:type="spellEnd"/>
      <w:r w:rsidRPr="00B6639E">
        <w:rPr>
          <w:rFonts w:ascii="Arial" w:hAnsi="Arial"/>
          <w:sz w:val="18"/>
          <w:szCs w:val="18"/>
          <w:lang w:val="cs-CZ"/>
        </w:rPr>
        <w:t xml:space="preserve"> - CBRE, </w:t>
      </w:r>
      <w:proofErr w:type="spellStart"/>
      <w:r w:rsidRPr="00B6639E">
        <w:rPr>
          <w:rFonts w:ascii="Arial" w:hAnsi="Arial"/>
          <w:sz w:val="18"/>
          <w:szCs w:val="18"/>
          <w:lang w:val="cs-CZ"/>
        </w:rPr>
        <w:t>Colliers</w:t>
      </w:r>
      <w:proofErr w:type="spellEnd"/>
      <w:r w:rsidRPr="00B6639E">
        <w:rPr>
          <w:rFonts w:ascii="Arial" w:hAnsi="Arial"/>
          <w:sz w:val="18"/>
          <w:szCs w:val="18"/>
          <w:lang w:val="cs-CZ"/>
        </w:rPr>
        <w:t xml:space="preserve"> International, </w:t>
      </w:r>
      <w:proofErr w:type="spellStart"/>
      <w:r w:rsidRPr="00B6639E">
        <w:rPr>
          <w:rFonts w:ascii="Arial" w:hAnsi="Arial"/>
          <w:sz w:val="18"/>
          <w:szCs w:val="18"/>
          <w:lang w:val="cs-CZ"/>
        </w:rPr>
        <w:t>Cushman</w:t>
      </w:r>
      <w:proofErr w:type="spellEnd"/>
      <w:r w:rsidRPr="00B6639E">
        <w:rPr>
          <w:rFonts w:ascii="Arial" w:hAnsi="Arial"/>
          <w:sz w:val="18"/>
          <w:szCs w:val="18"/>
          <w:lang w:val="cs-CZ"/>
        </w:rPr>
        <w:t xml:space="preserve"> &amp; </w:t>
      </w:r>
      <w:proofErr w:type="spellStart"/>
      <w:r w:rsidRPr="00B6639E">
        <w:rPr>
          <w:rFonts w:ascii="Arial" w:hAnsi="Arial"/>
          <w:sz w:val="18"/>
          <w:szCs w:val="18"/>
          <w:lang w:val="cs-CZ"/>
        </w:rPr>
        <w:t>Wakefield</w:t>
      </w:r>
      <w:proofErr w:type="spellEnd"/>
      <w:r w:rsidRPr="00B6639E">
        <w:rPr>
          <w:rFonts w:ascii="Arial" w:hAnsi="Arial"/>
          <w:sz w:val="18"/>
          <w:szCs w:val="18"/>
          <w:lang w:val="cs-CZ"/>
        </w:rPr>
        <w:t xml:space="preserve">, JLL a </w:t>
      </w:r>
      <w:proofErr w:type="spellStart"/>
      <w:r w:rsidRPr="00B6639E">
        <w:rPr>
          <w:rFonts w:ascii="Arial" w:hAnsi="Arial"/>
          <w:sz w:val="18"/>
          <w:szCs w:val="18"/>
          <w:lang w:val="cs-CZ"/>
        </w:rPr>
        <w:t>Knight</w:t>
      </w:r>
      <w:proofErr w:type="spellEnd"/>
      <w:r w:rsidRPr="00B6639E">
        <w:rPr>
          <w:rFonts w:ascii="Arial" w:hAnsi="Arial"/>
          <w:sz w:val="18"/>
          <w:szCs w:val="18"/>
          <w:lang w:val="cs-CZ"/>
        </w:rPr>
        <w:t xml:space="preserve"> Frank </w:t>
      </w:r>
      <w:r w:rsidR="00E82110" w:rsidRPr="00B6639E">
        <w:rPr>
          <w:rFonts w:ascii="Arial" w:hAnsi="Arial"/>
          <w:sz w:val="18"/>
          <w:szCs w:val="18"/>
          <w:lang w:val="cs-CZ"/>
        </w:rPr>
        <w:t>–</w:t>
      </w:r>
      <w:r w:rsidRPr="00B6639E">
        <w:rPr>
          <w:rFonts w:ascii="Arial" w:hAnsi="Arial"/>
          <w:sz w:val="18"/>
          <w:szCs w:val="18"/>
          <w:lang w:val="cs-CZ"/>
        </w:rPr>
        <w:t xml:space="preserve"> </w:t>
      </w:r>
      <w:r w:rsidR="00E256BF" w:rsidRPr="00B6639E">
        <w:rPr>
          <w:rFonts w:ascii="Arial" w:hAnsi="Arial"/>
          <w:sz w:val="18"/>
          <w:szCs w:val="18"/>
          <w:lang w:val="cs-CZ"/>
        </w:rPr>
        <w:t xml:space="preserve">v roce 2020 provedli </w:t>
      </w:r>
      <w:proofErr w:type="spellStart"/>
      <w:r w:rsidR="00E256BF" w:rsidRPr="00B6639E">
        <w:rPr>
          <w:rFonts w:ascii="Arial" w:hAnsi="Arial"/>
          <w:sz w:val="18"/>
          <w:szCs w:val="18"/>
          <w:lang w:val="cs-CZ"/>
        </w:rPr>
        <w:t>reklasifikaci</w:t>
      </w:r>
      <w:proofErr w:type="spellEnd"/>
      <w:r w:rsidR="00E256BF" w:rsidRPr="00B6639E">
        <w:rPr>
          <w:rFonts w:ascii="Arial" w:hAnsi="Arial"/>
          <w:sz w:val="18"/>
          <w:szCs w:val="18"/>
          <w:lang w:val="cs-CZ"/>
        </w:rPr>
        <w:t xml:space="preserve"> všech nemovitostí, které jsou v současné době zařazeny do celkové výměry</w:t>
      </w:r>
      <w:r w:rsidR="004C64EF">
        <w:rPr>
          <w:rFonts w:ascii="Arial" w:hAnsi="Arial"/>
          <w:sz w:val="18"/>
          <w:szCs w:val="18"/>
          <w:lang w:val="cs-CZ"/>
        </w:rPr>
        <w:t xml:space="preserve"> pražských moderních kanceláří </w:t>
      </w:r>
      <w:r w:rsidR="00E256BF" w:rsidRPr="00B6639E">
        <w:rPr>
          <w:rFonts w:ascii="Arial" w:hAnsi="Arial"/>
          <w:sz w:val="18"/>
          <w:szCs w:val="18"/>
          <w:lang w:val="cs-CZ"/>
        </w:rPr>
        <w:t>tak</w:t>
      </w:r>
      <w:r w:rsidR="004C64EF">
        <w:rPr>
          <w:rFonts w:ascii="Arial" w:hAnsi="Arial"/>
          <w:sz w:val="18"/>
          <w:szCs w:val="18"/>
          <w:lang w:val="cs-CZ"/>
        </w:rPr>
        <w:t>,</w:t>
      </w:r>
      <w:r w:rsidR="00E256BF" w:rsidRPr="00B6639E">
        <w:rPr>
          <w:rFonts w:ascii="Arial" w:hAnsi="Arial"/>
          <w:sz w:val="18"/>
          <w:szCs w:val="18"/>
          <w:lang w:val="cs-CZ"/>
        </w:rPr>
        <w:t xml:space="preserve"> aby hodnocená kritéria lépe odrážela moderní trendy v oblasti nemovitostí a </w:t>
      </w:r>
      <w:proofErr w:type="spellStart"/>
      <w:r w:rsidR="00E256BF" w:rsidRPr="00B6639E">
        <w:rPr>
          <w:rFonts w:ascii="Arial" w:hAnsi="Arial"/>
          <w:sz w:val="18"/>
          <w:szCs w:val="18"/>
          <w:lang w:val="cs-CZ"/>
        </w:rPr>
        <w:t>developmentu</w:t>
      </w:r>
      <w:proofErr w:type="spellEnd"/>
      <w:r w:rsidR="00E256BF" w:rsidRPr="00B6639E">
        <w:rPr>
          <w:rFonts w:ascii="Arial" w:hAnsi="Arial"/>
          <w:sz w:val="18"/>
          <w:szCs w:val="18"/>
          <w:lang w:val="cs-CZ"/>
        </w:rPr>
        <w:t>.</w:t>
      </w:r>
    </w:p>
    <w:bookmarkEnd w:id="1"/>
    <w:p w14:paraId="538DCAAA" w14:textId="77777777" w:rsidR="001C2214" w:rsidRPr="00B6639E" w:rsidRDefault="001C2214" w:rsidP="001C2214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01A4BFF1" w14:textId="77777777" w:rsidR="001C2214" w:rsidRPr="00B6639E" w:rsidRDefault="001C2214" w:rsidP="001C2214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Minimální požadavky pro zařazení do celkové výměry moderních kanceláří třídy A nebo třídy B zůstaly nezměněny a zahrnují:</w:t>
      </w:r>
    </w:p>
    <w:p w14:paraId="28642E69" w14:textId="77777777" w:rsidR="001C2214" w:rsidRPr="00B6639E" w:rsidRDefault="001C2214" w:rsidP="001C221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Dokončení nebo rekonstrukce po roce 1990</w:t>
      </w:r>
    </w:p>
    <w:p w14:paraId="26552BEB" w14:textId="77777777" w:rsidR="001C2214" w:rsidRPr="00B6639E" w:rsidRDefault="001C2214" w:rsidP="001C221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Velikost pronajímatelné plochy alespoň 1 000 m</w:t>
      </w:r>
      <w:r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</w:p>
    <w:p w14:paraId="2C829713" w14:textId="77777777" w:rsidR="001C2214" w:rsidRPr="00B6639E" w:rsidRDefault="001C2214" w:rsidP="001C221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Dostupné jednotky jsou inzerovány odpovídajícím způsobem</w:t>
      </w:r>
    </w:p>
    <w:p w14:paraId="28EA74AE" w14:textId="77777777" w:rsidR="001C2214" w:rsidRPr="00B6639E" w:rsidRDefault="001C2214" w:rsidP="001C22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458AFEF4" w14:textId="77777777" w:rsidR="001C2214" w:rsidRPr="00B6639E" w:rsidRDefault="001C2214" w:rsidP="001C22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Při hodnocení kvality nemovitosti jsou zahrnuty následující hlavní kategorie se stručným popisem:</w:t>
      </w:r>
    </w:p>
    <w:p w14:paraId="0063C0A2" w14:textId="454B9EDA" w:rsidR="001C2214" w:rsidRPr="00B6639E" w:rsidRDefault="001C2214" w:rsidP="001C2214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 xml:space="preserve">Technické specifikace – jak dobře je </w:t>
      </w:r>
      <w:r w:rsidR="004C64EF">
        <w:rPr>
          <w:rFonts w:ascii="Arial" w:hAnsi="Arial" w:cs="Arial"/>
          <w:sz w:val="18"/>
          <w:szCs w:val="18"/>
          <w:lang w:val="cs-CZ"/>
        </w:rPr>
        <w:t>nemovitost postavena a vybavena</w:t>
      </w:r>
    </w:p>
    <w:p w14:paraId="0DE1A487" w14:textId="142D34A2" w:rsidR="001C2214" w:rsidRPr="00B6639E" w:rsidRDefault="001C2214" w:rsidP="001C2214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 xml:space="preserve">Smart technologie – </w:t>
      </w:r>
      <w:r w:rsidR="00397F8D" w:rsidRPr="00B6639E">
        <w:rPr>
          <w:rFonts w:ascii="Arial" w:hAnsi="Arial" w:cs="Arial"/>
          <w:sz w:val="18"/>
          <w:szCs w:val="18"/>
          <w:lang w:val="cs-CZ"/>
        </w:rPr>
        <w:t>efektivita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budovy, jaké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smart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technologie používají a jaké </w:t>
      </w:r>
      <w:r w:rsidR="00397F8D" w:rsidRPr="00B6639E">
        <w:rPr>
          <w:rFonts w:ascii="Arial" w:hAnsi="Arial" w:cs="Arial"/>
          <w:sz w:val="18"/>
          <w:szCs w:val="18"/>
          <w:lang w:val="cs-CZ"/>
        </w:rPr>
        <w:t>nadstandar</w:t>
      </w:r>
      <w:r w:rsidR="00E05D76" w:rsidRPr="00B6639E">
        <w:rPr>
          <w:rFonts w:ascii="Arial" w:hAnsi="Arial" w:cs="Arial"/>
          <w:sz w:val="18"/>
          <w:szCs w:val="18"/>
          <w:lang w:val="cs-CZ"/>
        </w:rPr>
        <w:t>d</w:t>
      </w:r>
      <w:r w:rsidR="00397F8D" w:rsidRPr="00B6639E">
        <w:rPr>
          <w:rFonts w:ascii="Arial" w:hAnsi="Arial" w:cs="Arial"/>
          <w:sz w:val="18"/>
          <w:szCs w:val="18"/>
          <w:lang w:val="cs-CZ"/>
        </w:rPr>
        <w:t>ní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vybavení </w:t>
      </w:r>
      <w:r w:rsidR="00397F8D" w:rsidRPr="00B6639E">
        <w:rPr>
          <w:rFonts w:ascii="Arial" w:hAnsi="Arial" w:cs="Arial"/>
          <w:sz w:val="18"/>
          <w:szCs w:val="18"/>
          <w:lang w:val="cs-CZ"/>
        </w:rPr>
        <w:t>budovy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nabízejí</w:t>
      </w:r>
    </w:p>
    <w:p w14:paraId="24717FD3" w14:textId="77777777" w:rsidR="001C2214" w:rsidRPr="00B6639E" w:rsidRDefault="001C2214" w:rsidP="001C2214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Lokalita – dostupnost, služby a občanská vybavenost v blízkosti nemovitosti</w:t>
      </w:r>
    </w:p>
    <w:p w14:paraId="31418D03" w14:textId="77777777" w:rsidR="001C2214" w:rsidRPr="00B6639E" w:rsidRDefault="001C2214" w:rsidP="001C2214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Servis a zabezpečení – jakým způsobem je budova bezpečna a spravována</w:t>
      </w:r>
    </w:p>
    <w:p w14:paraId="3ACB8375" w14:textId="2E83B3A7" w:rsidR="001C2214" w:rsidRPr="00B6639E" w:rsidRDefault="001C2214" w:rsidP="001C2214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Parkování –</w:t>
      </w:r>
      <w:r w:rsidR="00E05D76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parkovací poměry s různými požadavky na budovy v centru města, ve vnitřním městě a </w:t>
      </w:r>
      <w:r w:rsidR="00E05D76" w:rsidRPr="00B6639E">
        <w:rPr>
          <w:rFonts w:ascii="Arial" w:hAnsi="Arial" w:cs="Arial"/>
          <w:sz w:val="18"/>
          <w:szCs w:val="18"/>
          <w:lang w:val="cs-CZ"/>
        </w:rPr>
        <w:t xml:space="preserve">ve </w:t>
      </w:r>
      <w:r w:rsidRPr="00B6639E">
        <w:rPr>
          <w:rFonts w:ascii="Arial" w:hAnsi="Arial" w:cs="Arial"/>
          <w:sz w:val="18"/>
          <w:szCs w:val="18"/>
          <w:lang w:val="cs-CZ"/>
        </w:rPr>
        <w:t>vnějším městě</w:t>
      </w:r>
    </w:p>
    <w:p w14:paraId="2C7EF167" w14:textId="4CBE64A3" w:rsidR="001C2214" w:rsidRPr="00B6639E" w:rsidRDefault="001C2214" w:rsidP="001C2214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Věk budovy – dokončení budovy nebo poslední rekonstrukce</w:t>
      </w:r>
    </w:p>
    <w:p w14:paraId="1CFFC45A" w14:textId="0119F6F4" w:rsidR="001C2214" w:rsidRPr="00B6639E" w:rsidRDefault="001C2214" w:rsidP="001C2214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 xml:space="preserve">Subjektivní hodnocení – subjektivní hodnocení členů </w:t>
      </w:r>
      <w:r w:rsidR="00397F8D" w:rsidRPr="00B6639E">
        <w:rPr>
          <w:rFonts w:ascii="Arial" w:hAnsi="Arial" w:cs="Arial"/>
          <w:sz w:val="18"/>
          <w:szCs w:val="18"/>
          <w:lang w:val="cs-CZ"/>
        </w:rPr>
        <w:t xml:space="preserve">Prague </w:t>
      </w:r>
      <w:proofErr w:type="spellStart"/>
      <w:r w:rsidR="00397F8D" w:rsidRPr="00B6639E">
        <w:rPr>
          <w:rFonts w:ascii="Arial" w:hAnsi="Arial" w:cs="Arial"/>
          <w:sz w:val="18"/>
          <w:szCs w:val="18"/>
          <w:lang w:val="cs-CZ"/>
        </w:rPr>
        <w:t>Research</w:t>
      </w:r>
      <w:proofErr w:type="spellEnd"/>
      <w:r w:rsidR="00397F8D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397F8D" w:rsidRPr="00B6639E">
        <w:rPr>
          <w:rFonts w:ascii="Arial" w:hAnsi="Arial" w:cs="Arial"/>
          <w:sz w:val="18"/>
          <w:szCs w:val="18"/>
          <w:lang w:val="cs-CZ"/>
        </w:rPr>
        <w:t>Fora</w:t>
      </w:r>
      <w:proofErr w:type="spellEnd"/>
    </w:p>
    <w:p w14:paraId="1B1C728F" w14:textId="77777777" w:rsidR="001C2214" w:rsidRPr="00B6639E" w:rsidRDefault="001C2214" w:rsidP="001C2214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2D63A4D4" w14:textId="71FF9978" w:rsidR="001C2214" w:rsidRPr="00B6639E" w:rsidRDefault="001C2214" w:rsidP="001C2214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00B6639E">
        <w:rPr>
          <w:rFonts w:ascii="Arial" w:hAnsi="Arial"/>
          <w:sz w:val="18"/>
          <w:szCs w:val="18"/>
          <w:lang w:val="cs-CZ"/>
        </w:rPr>
        <w:t>Každé z kritérií má podkategorie, které umožňují bodování, což vede ke konečnému skóre nemovitosti. Maximální h</w:t>
      </w:r>
      <w:r w:rsidR="00397F8D" w:rsidRPr="00B6639E">
        <w:rPr>
          <w:rFonts w:ascii="Arial" w:hAnsi="Arial"/>
          <w:sz w:val="18"/>
          <w:szCs w:val="18"/>
          <w:lang w:val="cs-CZ"/>
        </w:rPr>
        <w:t xml:space="preserve">odnoty </w:t>
      </w:r>
      <w:r w:rsidRPr="00B6639E">
        <w:rPr>
          <w:rFonts w:ascii="Arial" w:hAnsi="Arial"/>
          <w:sz w:val="18"/>
          <w:szCs w:val="18"/>
          <w:lang w:val="cs-CZ"/>
        </w:rPr>
        <w:t>každé kategorie j</w:t>
      </w:r>
      <w:r w:rsidR="00397F8D" w:rsidRPr="00B6639E">
        <w:rPr>
          <w:rFonts w:ascii="Arial" w:hAnsi="Arial"/>
          <w:sz w:val="18"/>
          <w:szCs w:val="18"/>
          <w:lang w:val="cs-CZ"/>
        </w:rPr>
        <w:t>sou</w:t>
      </w:r>
      <w:r w:rsidRPr="00B6639E">
        <w:rPr>
          <w:rFonts w:ascii="Arial" w:hAnsi="Arial"/>
          <w:sz w:val="18"/>
          <w:szCs w:val="18"/>
          <w:lang w:val="cs-CZ"/>
        </w:rPr>
        <w:t xml:space="preserve"> následující:</w:t>
      </w:r>
    </w:p>
    <w:tbl>
      <w:tblPr>
        <w:tblStyle w:val="Prosttabulka5"/>
        <w:tblW w:w="4860" w:type="dxa"/>
        <w:tblLook w:val="04A0" w:firstRow="1" w:lastRow="0" w:firstColumn="1" w:lastColumn="0" w:noHBand="0" w:noVBand="1"/>
      </w:tblPr>
      <w:tblGrid>
        <w:gridCol w:w="3150"/>
        <w:gridCol w:w="1710"/>
      </w:tblGrid>
      <w:tr w:rsidR="001C2214" w:rsidRPr="00B6639E" w14:paraId="62F15177" w14:textId="77777777" w:rsidTr="002F3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  <w:noWrap/>
            <w:hideMark/>
          </w:tcPr>
          <w:p w14:paraId="62B71A6D" w14:textId="77777777" w:rsidR="001C2214" w:rsidRPr="00B6639E" w:rsidRDefault="001C2214" w:rsidP="002F382C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Kategorie</w:t>
            </w:r>
          </w:p>
        </w:tc>
        <w:tc>
          <w:tcPr>
            <w:tcW w:w="1710" w:type="dxa"/>
            <w:noWrap/>
            <w:hideMark/>
          </w:tcPr>
          <w:p w14:paraId="257DB765" w14:textId="77777777" w:rsidR="001C2214" w:rsidRPr="00B6639E" w:rsidRDefault="001C2214" w:rsidP="002F38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Podíl na celkovém hodnocení</w:t>
            </w:r>
          </w:p>
        </w:tc>
      </w:tr>
      <w:tr w:rsidR="001C2214" w:rsidRPr="00B6639E" w14:paraId="43EFAA40" w14:textId="77777777" w:rsidTr="002F3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5ECF2FC6" w14:textId="77777777" w:rsidR="001C2214" w:rsidRPr="00B6639E" w:rsidRDefault="001C2214" w:rsidP="002F382C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/>
              </w:rPr>
              <w:t>Technické specifikace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68AE33" w14:textId="77777777" w:rsidR="001C2214" w:rsidRPr="00B6639E" w:rsidRDefault="001C2214" w:rsidP="002F382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41 %</w:t>
            </w:r>
          </w:p>
        </w:tc>
      </w:tr>
      <w:tr w:rsidR="001C2214" w:rsidRPr="00B6639E" w14:paraId="4300E610" w14:textId="77777777" w:rsidTr="002F382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5C633D47" w14:textId="77777777" w:rsidR="001C2214" w:rsidRPr="00B6639E" w:rsidRDefault="001C2214" w:rsidP="002F382C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Smart technologie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632B970" w14:textId="77777777" w:rsidR="001C2214" w:rsidRPr="00B6639E" w:rsidRDefault="001C2214" w:rsidP="002F382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18 %</w:t>
            </w:r>
          </w:p>
        </w:tc>
      </w:tr>
      <w:tr w:rsidR="001C2214" w:rsidRPr="00B6639E" w14:paraId="45ACB093" w14:textId="77777777" w:rsidTr="002F3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1486CEA1" w14:textId="77777777" w:rsidR="001C2214" w:rsidRPr="00B6639E" w:rsidRDefault="001C2214" w:rsidP="002F382C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Lokalita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2B1AFA9" w14:textId="77777777" w:rsidR="001C2214" w:rsidRPr="00B6639E" w:rsidRDefault="001C2214" w:rsidP="002F382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9 %</w:t>
            </w:r>
          </w:p>
        </w:tc>
      </w:tr>
      <w:tr w:rsidR="001C2214" w:rsidRPr="00B6639E" w14:paraId="38E26265" w14:textId="77777777" w:rsidTr="002F382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0CFECA80" w14:textId="77777777" w:rsidR="001C2214" w:rsidRPr="00B6639E" w:rsidRDefault="001C2214" w:rsidP="002F382C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  <w:t>Servis a zabezpečení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25AB54D6" w14:textId="77777777" w:rsidR="001C2214" w:rsidRPr="00B6639E" w:rsidRDefault="001C2214" w:rsidP="002F382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  <w:t>9 %</w:t>
            </w:r>
          </w:p>
        </w:tc>
      </w:tr>
      <w:tr w:rsidR="001C2214" w:rsidRPr="00B6639E" w14:paraId="091DADD4" w14:textId="77777777" w:rsidTr="002F3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5FE58F8F" w14:textId="77777777" w:rsidR="001C2214" w:rsidRPr="00B6639E" w:rsidRDefault="001C2214" w:rsidP="002F382C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Věk budovy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04C15D1C" w14:textId="77777777" w:rsidR="001C2214" w:rsidRPr="00B6639E" w:rsidRDefault="001C2214" w:rsidP="002F382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1C2214" w:rsidRPr="00B6639E" w14:paraId="4ABDE29D" w14:textId="77777777" w:rsidTr="002F382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52A24966" w14:textId="77777777" w:rsidR="001C2214" w:rsidRPr="00B6639E" w:rsidRDefault="001C2214" w:rsidP="002F382C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Parkování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36E6AE6A" w14:textId="77777777" w:rsidR="001C2214" w:rsidRPr="00B6639E" w:rsidRDefault="001C2214" w:rsidP="002F382C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1C2214" w:rsidRPr="00B6639E" w14:paraId="67F9B4D5" w14:textId="77777777" w:rsidTr="002F3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71AB6D29" w14:textId="77777777" w:rsidR="001C2214" w:rsidRPr="00B6639E" w:rsidRDefault="001C2214" w:rsidP="002F382C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Subjektivní hodnocení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87ACB6" w14:textId="77777777" w:rsidR="001C2214" w:rsidRPr="00B6639E" w:rsidRDefault="001C2214" w:rsidP="002F382C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bCs/>
                <w:sz w:val="18"/>
                <w:szCs w:val="18"/>
                <w:lang w:val="cs-CZ"/>
              </w:rPr>
              <w:t xml:space="preserve">7 </w:t>
            </w:r>
            <w:r w:rsidRPr="00B6639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%</w:t>
            </w:r>
          </w:p>
        </w:tc>
      </w:tr>
    </w:tbl>
    <w:p w14:paraId="719B2CBD" w14:textId="77777777" w:rsidR="001C2214" w:rsidRPr="00B6639E" w:rsidRDefault="001C2214" w:rsidP="001C2214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691034EF" w14:textId="5C0A1367" w:rsidR="001C2214" w:rsidRPr="00B6639E" w:rsidRDefault="001C2214" w:rsidP="001C2214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00B6639E">
        <w:rPr>
          <w:rFonts w:ascii="Arial" w:hAnsi="Arial"/>
          <w:sz w:val="18"/>
          <w:szCs w:val="18"/>
          <w:lang w:val="cs-CZ"/>
        </w:rPr>
        <w:t xml:space="preserve">V důsledku </w:t>
      </w:r>
      <w:proofErr w:type="spellStart"/>
      <w:r w:rsidRPr="00B6639E">
        <w:rPr>
          <w:rFonts w:ascii="Arial" w:hAnsi="Arial"/>
          <w:sz w:val="18"/>
          <w:szCs w:val="18"/>
          <w:lang w:val="cs-CZ"/>
        </w:rPr>
        <w:t>reklasifikace</w:t>
      </w:r>
      <w:proofErr w:type="spellEnd"/>
      <w:r w:rsidRPr="00B6639E">
        <w:rPr>
          <w:rFonts w:ascii="Arial" w:hAnsi="Arial"/>
          <w:sz w:val="18"/>
          <w:szCs w:val="18"/>
          <w:lang w:val="cs-CZ"/>
        </w:rPr>
        <w:t xml:space="preserve"> je 4</w:t>
      </w:r>
      <w:r w:rsidR="001A4EAE" w:rsidRPr="00B6639E">
        <w:rPr>
          <w:rFonts w:ascii="Arial" w:hAnsi="Arial"/>
          <w:sz w:val="18"/>
          <w:szCs w:val="18"/>
          <w:lang w:val="cs-CZ"/>
        </w:rPr>
        <w:t>9</w:t>
      </w:r>
      <w:r w:rsidRPr="00B6639E">
        <w:rPr>
          <w:rFonts w:ascii="Arial" w:hAnsi="Arial"/>
          <w:sz w:val="18"/>
          <w:szCs w:val="18"/>
          <w:lang w:val="cs-CZ"/>
        </w:rPr>
        <w:t xml:space="preserve"> % nemovitostí zahrnuto do </w:t>
      </w:r>
      <w:proofErr w:type="gramStart"/>
      <w:r w:rsidRPr="00B6639E">
        <w:rPr>
          <w:rFonts w:ascii="Arial" w:hAnsi="Arial"/>
          <w:sz w:val="18"/>
          <w:szCs w:val="18"/>
          <w:lang w:val="cs-CZ"/>
        </w:rPr>
        <w:t>třídy A, přičemž</w:t>
      </w:r>
      <w:proofErr w:type="gramEnd"/>
      <w:r w:rsidRPr="00B6639E">
        <w:rPr>
          <w:rFonts w:ascii="Arial" w:hAnsi="Arial"/>
          <w:sz w:val="18"/>
          <w:szCs w:val="18"/>
          <w:lang w:val="cs-CZ"/>
        </w:rPr>
        <w:t xml:space="preserve"> pouze 8 % dosahuje nejlepších bodů a získává hodnocení třídy AAA. Zbývajících </w:t>
      </w:r>
      <w:r w:rsidR="001A4EAE" w:rsidRPr="00B6639E">
        <w:rPr>
          <w:rFonts w:ascii="Arial" w:hAnsi="Arial"/>
          <w:sz w:val="18"/>
          <w:szCs w:val="18"/>
          <w:lang w:val="cs-CZ"/>
        </w:rPr>
        <w:t>51</w:t>
      </w:r>
      <w:r w:rsidRPr="00B6639E">
        <w:rPr>
          <w:rFonts w:ascii="Arial" w:hAnsi="Arial"/>
          <w:sz w:val="18"/>
          <w:szCs w:val="18"/>
          <w:lang w:val="cs-CZ"/>
        </w:rPr>
        <w:t xml:space="preserve"> % nemovitostí je hodnoceno jako třída B.</w:t>
      </w:r>
    </w:p>
    <w:p w14:paraId="34C93784" w14:textId="77777777" w:rsidR="001C2214" w:rsidRPr="00B6639E" w:rsidRDefault="001C2214" w:rsidP="001C2214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5DA57D74" w14:textId="57D62A18" w:rsidR="00FA6B16" w:rsidRPr="00B6639E" w:rsidRDefault="00FA6B16" w:rsidP="00F5539A">
      <w:pPr>
        <w:pStyle w:val="Nadpis1"/>
        <w:pageBreakBefore/>
        <w:rPr>
          <w:color w:val="000000"/>
          <w:lang w:val="cs-CZ"/>
        </w:rPr>
      </w:pPr>
      <w:r w:rsidRPr="00B6639E">
        <w:rPr>
          <w:lang w:val="cs-CZ"/>
        </w:rPr>
        <w:lastRenderedPageBreak/>
        <w:t>Příloh</w:t>
      </w:r>
      <w:r w:rsidRPr="00B6639E">
        <w:rPr>
          <w:color w:val="000000"/>
          <w:lang w:val="cs-CZ"/>
        </w:rPr>
        <w:t>a</w:t>
      </w:r>
    </w:p>
    <w:p w14:paraId="30CAB3AB" w14:textId="77777777" w:rsidR="00FA6B16" w:rsidRPr="00B6639E" w:rsidRDefault="00FA6B16" w:rsidP="00FA6B16">
      <w:pPr>
        <w:jc w:val="both"/>
        <w:outlineLvl w:val="0"/>
        <w:rPr>
          <w:rFonts w:ascii="Arial" w:hAnsi="Arial" w:cs="Arial"/>
          <w:b/>
          <w:sz w:val="16"/>
          <w:szCs w:val="16"/>
          <w:lang w:val="cs-CZ"/>
        </w:rPr>
      </w:pPr>
    </w:p>
    <w:p w14:paraId="6B5B6981" w14:textId="13D65D57" w:rsidR="00FA6B16" w:rsidRPr="00B6639E" w:rsidRDefault="00FA6B16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Definice</w:t>
      </w:r>
      <w:r w:rsidR="00F5539A" w:rsidRPr="00B6639E">
        <w:rPr>
          <w:rFonts w:ascii="Arial" w:hAnsi="Arial" w:cs="Arial"/>
          <w:b/>
          <w:sz w:val="18"/>
          <w:szCs w:val="18"/>
          <w:lang w:val="cs-CZ"/>
        </w:rPr>
        <w:t>:</w:t>
      </w:r>
    </w:p>
    <w:p w14:paraId="21C79AFD" w14:textId="0191A139" w:rsidR="00751A8F" w:rsidRPr="00B6639E" w:rsidRDefault="00751A8F" w:rsidP="00FA6B16">
      <w:pPr>
        <w:jc w:val="both"/>
        <w:outlineLvl w:val="0"/>
        <w:rPr>
          <w:rFonts w:ascii="Arial" w:hAnsi="Arial" w:cs="Arial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25"/>
      </w:tblGrid>
      <w:tr w:rsidR="00751A8F" w:rsidRPr="00B6639E" w14:paraId="01B8DB7A" w14:textId="77777777" w:rsidTr="00751A8F">
        <w:tc>
          <w:tcPr>
            <w:tcW w:w="2405" w:type="dxa"/>
          </w:tcPr>
          <w:p w14:paraId="2AA01A31" w14:textId="7C6E65C3" w:rsidR="00751A8F" w:rsidRPr="00B6639E" w:rsidRDefault="00751A8F" w:rsidP="00751A8F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Celková výměra:</w:t>
            </w:r>
          </w:p>
        </w:tc>
        <w:tc>
          <w:tcPr>
            <w:tcW w:w="8025" w:type="dxa"/>
          </w:tcPr>
          <w:p w14:paraId="5B19A417" w14:textId="1F51BDD4" w:rsidR="00751A8F" w:rsidRPr="00B6639E" w:rsidRDefault="00751A8F" w:rsidP="00751A8F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Celková výměra dokončených kancelářských ploch (obsazených či neobsazených), nově postavených od roku 1990 nebo zrekonstruovaných, třídy A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a</w:t>
            </w:r>
            <w:proofErr w:type="spellEnd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B, obsazených majitelem nebo k pronájmu a budovy státní správy. Budovy s výměrou menší než 1 000 m² jsou vyloučeny.</w:t>
            </w:r>
          </w:p>
        </w:tc>
      </w:tr>
      <w:tr w:rsidR="00751A8F" w:rsidRPr="00B6639E" w14:paraId="1F5F06CF" w14:textId="77777777" w:rsidTr="00751A8F">
        <w:tc>
          <w:tcPr>
            <w:tcW w:w="2405" w:type="dxa"/>
          </w:tcPr>
          <w:p w14:paraId="2BC897FC" w14:textId="3BB72760" w:rsidR="00751A8F" w:rsidRPr="00B6639E" w:rsidRDefault="00751A8F" w:rsidP="00751A8F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Nová nabídka:</w:t>
            </w:r>
          </w:p>
        </w:tc>
        <w:tc>
          <w:tcPr>
            <w:tcW w:w="8025" w:type="dxa"/>
          </w:tcPr>
          <w:p w14:paraId="497B6F06" w14:textId="703BBC81" w:rsidR="00751A8F" w:rsidRPr="00B6639E" w:rsidRDefault="00751A8F" w:rsidP="00751A8F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Nově dokončené nebo zrekonstruované budovy, které obdržely kolaudační rozhodnutí v daném období.</w:t>
            </w:r>
          </w:p>
        </w:tc>
      </w:tr>
      <w:tr w:rsidR="00751A8F" w:rsidRPr="00B6639E" w14:paraId="096C71A7" w14:textId="77777777" w:rsidTr="00751A8F">
        <w:tc>
          <w:tcPr>
            <w:tcW w:w="2405" w:type="dxa"/>
          </w:tcPr>
          <w:p w14:paraId="1B94ED92" w14:textId="152C0FC6" w:rsidR="00751A8F" w:rsidRPr="00B6639E" w:rsidRDefault="00751A8F" w:rsidP="00751A8F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Realizovaná poptávka:</w:t>
            </w:r>
          </w:p>
        </w:tc>
        <w:tc>
          <w:tcPr>
            <w:tcW w:w="8025" w:type="dxa"/>
          </w:tcPr>
          <w:p w14:paraId="3B6AC09F" w14:textId="4A8E5A33" w:rsidR="00751A8F" w:rsidRPr="00B6639E" w:rsidRDefault="00751A8F" w:rsidP="00751A8F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Hrubá plocha reprezentuje celkovou podlahovou plochu pronajatou nebo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předpronajatou</w:t>
            </w:r>
            <w:proofErr w:type="spellEnd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, prodanou nebo předprodanou uživatelům za uvedené období. Neobsahuje prostory pod nabídkou. Prostor je pronajat, pokud je podepsána smlouva. Celková realizovaná poptávka obsahuje i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renegociace</w:t>
            </w:r>
            <w:proofErr w:type="spellEnd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, prodloužení pronájmů a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pod</w:t>
            </w:r>
            <w:r w:rsidR="008156C1" w:rsidRPr="00B6639E">
              <w:rPr>
                <w:rFonts w:ascii="Arial" w:hAnsi="Arial" w:cs="Arial"/>
                <w:sz w:val="18"/>
                <w:szCs w:val="18"/>
                <w:lang w:val="cs-CZ"/>
              </w:rPr>
              <w:t>pro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nájmy</w:t>
            </w:r>
            <w:proofErr w:type="spellEnd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, čistá realizovaná poptávka tyto transakce vylučuje.</w:t>
            </w:r>
          </w:p>
        </w:tc>
      </w:tr>
      <w:tr w:rsidR="00751A8F" w:rsidRPr="00B6639E" w14:paraId="7AF29A8E" w14:textId="77777777" w:rsidTr="00751A8F">
        <w:tc>
          <w:tcPr>
            <w:tcW w:w="2405" w:type="dxa"/>
          </w:tcPr>
          <w:p w14:paraId="2050B7A3" w14:textId="639EF245" w:rsidR="00751A8F" w:rsidRPr="00B6639E" w:rsidRDefault="00751A8F" w:rsidP="00751A8F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Míra neobsazenosti:</w:t>
            </w:r>
          </w:p>
        </w:tc>
        <w:tc>
          <w:tcPr>
            <w:tcW w:w="8025" w:type="dxa"/>
          </w:tcPr>
          <w:p w14:paraId="53A1A2E2" w14:textId="64F27BC1" w:rsidR="00751A8F" w:rsidRPr="00B6639E" w:rsidRDefault="00751A8F" w:rsidP="00751A8F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Podíl fyzicky volných prostor v dokončených budovách na celkové výměře.</w:t>
            </w:r>
          </w:p>
        </w:tc>
      </w:tr>
      <w:tr w:rsidR="00751A8F" w:rsidRPr="00B6639E" w14:paraId="29915531" w14:textId="77777777" w:rsidTr="00751A8F">
        <w:tc>
          <w:tcPr>
            <w:tcW w:w="2405" w:type="dxa"/>
          </w:tcPr>
          <w:p w14:paraId="72D94216" w14:textId="477DFFAF" w:rsidR="00751A8F" w:rsidRPr="00B6639E" w:rsidRDefault="00751A8F" w:rsidP="00751A8F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Nejvyšší nájemné:</w:t>
            </w:r>
          </w:p>
        </w:tc>
        <w:tc>
          <w:tcPr>
            <w:tcW w:w="8025" w:type="dxa"/>
          </w:tcPr>
          <w:p w14:paraId="13C938B6" w14:textId="652B8780" w:rsidR="00751A8F" w:rsidRPr="00B6639E" w:rsidRDefault="00751A8F" w:rsidP="00751A8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Dosahované nájemné za nové budovy, vysoké technické kvality, v budovách v nejlepších lokalitách. Na trhu se ale mohou objevit i výjimečné projekty, kde je dosahováno vyšší nájemné.</w:t>
            </w:r>
          </w:p>
        </w:tc>
      </w:tr>
      <w:tr w:rsidR="00751A8F" w:rsidRPr="00B6639E" w14:paraId="6AABA58C" w14:textId="77777777" w:rsidTr="00751A8F">
        <w:tc>
          <w:tcPr>
            <w:tcW w:w="2405" w:type="dxa"/>
          </w:tcPr>
          <w:p w14:paraId="0743C2B8" w14:textId="147DB0B9" w:rsidR="00751A8F" w:rsidRPr="00B6639E" w:rsidRDefault="00751A8F" w:rsidP="00751A8F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proofErr w:type="spellStart"/>
            <w:r w:rsidRPr="00B663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Pod</w:t>
            </w:r>
            <w:r w:rsidR="00297E6B" w:rsidRPr="00B663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pro</w:t>
            </w:r>
            <w:r w:rsidRPr="00B663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nájem</w:t>
            </w:r>
            <w:proofErr w:type="spellEnd"/>
            <w:r w:rsidRPr="00B663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:</w:t>
            </w:r>
          </w:p>
        </w:tc>
        <w:tc>
          <w:tcPr>
            <w:tcW w:w="8025" w:type="dxa"/>
          </w:tcPr>
          <w:p w14:paraId="4D91BA79" w14:textId="1D779222" w:rsidR="00751A8F" w:rsidRPr="00B6639E" w:rsidRDefault="00751A8F" w:rsidP="00751A8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  <w:t>Prostory nabízené k pronájmu současným nájemcem, který je smluvně vázán k nájmu prostor po delší dobu, než ve skutečnosti potřebuje.</w:t>
            </w:r>
          </w:p>
        </w:tc>
      </w:tr>
    </w:tbl>
    <w:p w14:paraId="4AE2BBDB" w14:textId="77777777" w:rsidR="00751A8F" w:rsidRPr="00B6639E" w:rsidRDefault="00751A8F" w:rsidP="00FA6B16">
      <w:pPr>
        <w:jc w:val="both"/>
        <w:outlineLvl w:val="0"/>
        <w:rPr>
          <w:rFonts w:ascii="Arial" w:hAnsi="Arial" w:cs="Arial"/>
          <w:sz w:val="18"/>
          <w:szCs w:val="18"/>
          <w:lang w:val="cs-CZ"/>
        </w:rPr>
      </w:pPr>
    </w:p>
    <w:p w14:paraId="399DD0DA" w14:textId="351E32DE" w:rsidR="00887EEB" w:rsidRPr="00B6639E" w:rsidRDefault="00887EEB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62922CC3" w14:textId="1CCC24EF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5EB1B479" w14:textId="62656304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66948138" w14:textId="6A2E2958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07F4F34F" w14:textId="5B26C51C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7964B1D6" w14:textId="270769D0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627308D5" w14:textId="7226BD06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532E93BA" w14:textId="3CE62CD9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65535859" w14:textId="49712E2A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1604E750" w14:textId="552AAAAC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60E274AE" w14:textId="6AA31C23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0E7B5E42" w14:textId="2DDBC0E7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628416DD" w14:textId="006DF7ED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  <w:bookmarkStart w:id="2" w:name="_GoBack"/>
      <w:bookmarkEnd w:id="2"/>
    </w:p>
    <w:p w14:paraId="5678849C" w14:textId="68844104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34BF2952" w14:textId="77777777" w:rsidR="001C2214" w:rsidRPr="00B6639E" w:rsidRDefault="001C2214" w:rsidP="00FA6B16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</w:p>
    <w:p w14:paraId="3C2B2361" w14:textId="77777777" w:rsidR="001C2214" w:rsidRPr="00B6639E" w:rsidRDefault="001C2214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2132A570" w14:textId="2F0171F6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657DADA7" w14:textId="217BBDDB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232F3A66" w14:textId="65E02B9A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63F596E6" w14:textId="5FAADB3B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38A952EE" w14:textId="52DF4EE6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5BE2B09C" w14:textId="229E2F75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298F6CBA" w14:textId="7E4AF182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1C20158B" w14:textId="15E73F27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636E83D9" w14:textId="21C4FD04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1D2B4C7C" w14:textId="2121F635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2EEF1BD5" w14:textId="260B8648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232B5213" w14:textId="4FF8552E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04E89AFC" w14:textId="6A8E5DC8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72B0B03F" w14:textId="7F6664FB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163CFA61" w14:textId="3C5E2531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02C5AD5C" w14:textId="74984CC1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11C57A03" w14:textId="5FE66CE0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25EBB886" w14:textId="5F12BCC7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0945DA31" w14:textId="69EB688D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2D5A7A19" w14:textId="77777777" w:rsidR="00887EEB" w:rsidRPr="00B6639E" w:rsidRDefault="00887EEB" w:rsidP="00FA6B16">
      <w:pPr>
        <w:jc w:val="both"/>
        <w:outlineLvl w:val="0"/>
        <w:rPr>
          <w:rFonts w:ascii="Arial" w:hAnsi="Arial" w:cs="Arial"/>
          <w:sz w:val="16"/>
          <w:szCs w:val="16"/>
          <w:lang w:val="cs-CZ"/>
        </w:rPr>
      </w:pPr>
    </w:p>
    <w:p w14:paraId="26C746C8" w14:textId="77777777" w:rsidR="00887EEB" w:rsidRPr="00B6639E" w:rsidRDefault="00887EEB" w:rsidP="00FA6B16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5EF0408" w14:textId="4F7E6616" w:rsidR="00FA6B16" w:rsidRPr="00B6639E" w:rsidRDefault="00FA6B16" w:rsidP="00FA6B16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B6639E">
        <w:rPr>
          <w:rFonts w:ascii="Arial" w:hAnsi="Arial" w:cs="Arial"/>
          <w:b/>
          <w:bCs/>
          <w:sz w:val="16"/>
          <w:szCs w:val="16"/>
          <w:lang w:val="cs-CZ"/>
        </w:rPr>
        <w:t>COPYRI</w:t>
      </w:r>
      <w:r w:rsidR="00A666BA" w:rsidRPr="00B6639E">
        <w:rPr>
          <w:rFonts w:ascii="Arial" w:hAnsi="Arial" w:cs="Arial"/>
          <w:b/>
          <w:bCs/>
          <w:sz w:val="16"/>
          <w:szCs w:val="16"/>
          <w:lang w:val="cs-CZ"/>
        </w:rPr>
        <w:t xml:space="preserve">GHT © Prague </w:t>
      </w:r>
      <w:proofErr w:type="spellStart"/>
      <w:r w:rsidR="00A666BA" w:rsidRPr="00B6639E">
        <w:rPr>
          <w:rFonts w:ascii="Arial" w:hAnsi="Arial" w:cs="Arial"/>
          <w:b/>
          <w:bCs/>
          <w:sz w:val="16"/>
          <w:szCs w:val="16"/>
          <w:lang w:val="cs-CZ"/>
        </w:rPr>
        <w:t>Research</w:t>
      </w:r>
      <w:proofErr w:type="spellEnd"/>
      <w:r w:rsidR="00A666BA" w:rsidRPr="00B6639E">
        <w:rPr>
          <w:rFonts w:ascii="Arial" w:hAnsi="Arial" w:cs="Arial"/>
          <w:b/>
          <w:bCs/>
          <w:sz w:val="16"/>
          <w:szCs w:val="16"/>
          <w:lang w:val="cs-CZ"/>
        </w:rPr>
        <w:t xml:space="preserve"> </w:t>
      </w:r>
      <w:proofErr w:type="spellStart"/>
      <w:r w:rsidR="00A666BA" w:rsidRPr="00B6639E">
        <w:rPr>
          <w:rFonts w:ascii="Arial" w:hAnsi="Arial" w:cs="Arial"/>
          <w:b/>
          <w:bCs/>
          <w:sz w:val="16"/>
          <w:szCs w:val="16"/>
          <w:lang w:val="cs-CZ"/>
        </w:rPr>
        <w:t>Forum</w:t>
      </w:r>
      <w:proofErr w:type="spellEnd"/>
      <w:r w:rsidR="00A666BA" w:rsidRPr="00B6639E">
        <w:rPr>
          <w:rFonts w:ascii="Arial" w:hAnsi="Arial" w:cs="Arial"/>
          <w:b/>
          <w:bCs/>
          <w:sz w:val="16"/>
          <w:szCs w:val="16"/>
          <w:lang w:val="cs-CZ"/>
        </w:rPr>
        <w:t xml:space="preserve"> </w:t>
      </w:r>
      <w:r w:rsidR="00B84173" w:rsidRPr="00B6639E">
        <w:rPr>
          <w:rFonts w:ascii="Arial" w:hAnsi="Arial" w:cs="Arial"/>
          <w:b/>
          <w:bCs/>
          <w:sz w:val="16"/>
          <w:szCs w:val="16"/>
          <w:lang w:val="cs-CZ"/>
        </w:rPr>
        <w:t>2021</w:t>
      </w:r>
    </w:p>
    <w:p w14:paraId="248A2207" w14:textId="2F40B603" w:rsidR="00AF0323" w:rsidRPr="00544DE4" w:rsidRDefault="00FA6B16" w:rsidP="00FA6B16">
      <w:pPr>
        <w:jc w:val="both"/>
        <w:rPr>
          <w:rFonts w:ascii="Arial" w:hAnsi="Arial" w:cs="Arial"/>
          <w:sz w:val="16"/>
          <w:szCs w:val="16"/>
          <w:lang w:val="cs-CZ"/>
        </w:rPr>
      </w:pPr>
      <w:r w:rsidRPr="00B6639E">
        <w:rPr>
          <w:rFonts w:ascii="Arial" w:hAnsi="Arial" w:cs="Arial"/>
          <w:sz w:val="16"/>
          <w:szCs w:val="16"/>
          <w:lang w:val="cs-CZ"/>
        </w:rPr>
        <w:t xml:space="preserve">Tato publikace je vlastnictvím Prague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(Členové: CBRE,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Colliers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International,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Cushman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&amp;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Wakefield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, JLL a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Knight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Frank) a nesmí být kopírována, reprodukována a dále šířena v jakékoliv podobě nebo jakýmikoliv prostředky a to jako část nebo celek bez uvedení Prague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jako zdroje informace. Informace obsažené v publikaci byly získány ze zdrojů považovaných za důvěryhodné. Nicméně správnost informace nezaručujeme.</w:t>
      </w:r>
      <w:r w:rsidRPr="00B6639E">
        <w:rPr>
          <w:sz w:val="16"/>
          <w:szCs w:val="16"/>
          <w:lang w:val="cs-CZ"/>
        </w:rPr>
        <w:t xml:space="preserve"> </w:t>
      </w:r>
      <w:r w:rsidR="00AF0323" w:rsidRPr="00B6639E">
        <w:rPr>
          <w:rFonts w:ascii="Arial" w:hAnsi="Arial" w:cs="Arial"/>
          <w:sz w:val="16"/>
          <w:szCs w:val="16"/>
          <w:lang w:val="cs-CZ"/>
        </w:rPr>
        <w:t>O </w:t>
      </w:r>
      <w:r w:rsidRPr="00B6639E">
        <w:rPr>
          <w:rFonts w:ascii="Arial" w:hAnsi="Arial" w:cs="Arial"/>
          <w:sz w:val="16"/>
          <w:szCs w:val="16"/>
          <w:lang w:val="cs-CZ"/>
        </w:rPr>
        <w:t xml:space="preserve">nepřesnostech nás informujte, abychom je mohli opravit. Prague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6"/>
          <w:szCs w:val="16"/>
          <w:lang w:val="cs-CZ"/>
        </w:rPr>
        <w:t>Forum</w:t>
      </w:r>
      <w:proofErr w:type="spellEnd"/>
      <w:r w:rsidRPr="00B6639E">
        <w:rPr>
          <w:rFonts w:ascii="Arial" w:hAnsi="Arial" w:cs="Arial"/>
          <w:sz w:val="16"/>
          <w:szCs w:val="16"/>
          <w:lang w:val="cs-CZ"/>
        </w:rPr>
        <w:t xml:space="preserve"> na sebe neváže odpovědnost za škodu nebo ztrátu způsobenou jakoukoliv neúmyslnou nepřesností v této zprávě.</w:t>
      </w:r>
    </w:p>
    <w:sectPr w:rsidR="00AF0323" w:rsidRPr="00544DE4" w:rsidSect="00887EEB">
      <w:type w:val="continuous"/>
      <w:pgSz w:w="11906" w:h="16838" w:code="9"/>
      <w:pgMar w:top="720" w:right="748" w:bottom="720" w:left="720" w:header="709" w:footer="227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381A3" w14:textId="77777777" w:rsidR="00AB087E" w:rsidRDefault="00AB087E">
      <w:r>
        <w:separator/>
      </w:r>
    </w:p>
  </w:endnote>
  <w:endnote w:type="continuationSeparator" w:id="0">
    <w:p w14:paraId="5DAB031A" w14:textId="77777777" w:rsidR="00AB087E" w:rsidRDefault="00AB087E">
      <w:r>
        <w:continuationSeparator/>
      </w:r>
    </w:p>
  </w:endnote>
  <w:endnote w:type="continuationNotice" w:id="1">
    <w:p w14:paraId="777C0F3F" w14:textId="77777777" w:rsidR="00AB087E" w:rsidRDefault="00AB0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E8A45" w14:textId="6986CF7D" w:rsidR="00470946" w:rsidRDefault="00ED6C09" w:rsidP="00470946">
    <w:pPr>
      <w:pStyle w:val="Zpat"/>
      <w:pBdr>
        <w:top w:val="single" w:sz="4" w:space="12" w:color="auto"/>
      </w:pBdr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  <w:r w:rsidRPr="00F5539A">
      <w:rPr>
        <w:rFonts w:ascii="Arial" w:hAnsi="Arial" w:cs="Arial"/>
        <w:b/>
        <w:sz w:val="16"/>
        <w:szCs w:val="18"/>
        <w:lang w:val="cs-CZ"/>
      </w:rPr>
      <w:t>Pro další informace</w:t>
    </w:r>
    <w:r w:rsidR="00470946">
      <w:rPr>
        <w:rFonts w:ascii="Arial" w:hAnsi="Arial" w:cs="Arial"/>
        <w:b/>
        <w:sz w:val="16"/>
        <w:szCs w:val="18"/>
        <w:lang w:val="cs-CZ"/>
      </w:rPr>
      <w:t xml:space="preserve"> a stahování našich tiskových zpráv</w:t>
    </w:r>
    <w:r w:rsidRPr="00F5539A">
      <w:rPr>
        <w:rFonts w:ascii="Arial" w:hAnsi="Arial" w:cs="Arial"/>
        <w:b/>
        <w:sz w:val="16"/>
        <w:szCs w:val="18"/>
        <w:lang w:val="cs-CZ"/>
      </w:rPr>
      <w:t xml:space="preserve"> </w:t>
    </w:r>
    <w:r w:rsidR="00470946">
      <w:rPr>
        <w:rFonts w:ascii="Arial" w:hAnsi="Arial" w:cs="Arial"/>
        <w:b/>
        <w:sz w:val="16"/>
        <w:szCs w:val="18"/>
        <w:lang w:val="cs-CZ"/>
      </w:rPr>
      <w:t>navštivte prosím naši stránku</w:t>
    </w:r>
    <w:r w:rsidR="00470946"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 </w:t>
    </w:r>
    <w:hyperlink r:id="rId1" w:history="1">
      <w:r w:rsidR="00470946">
        <w:rPr>
          <w:rStyle w:val="Hypertextovodkaz"/>
          <w:rFonts w:ascii="Arial" w:hAnsi="Arial" w:cs="Arial"/>
          <w:b/>
          <w:bCs/>
          <w:noProof/>
          <w:sz w:val="16"/>
          <w:szCs w:val="16"/>
          <w:lang w:val="en-US"/>
        </w:rPr>
        <w:t>www.pragueresearchforum.cz</w:t>
      </w:r>
    </w:hyperlink>
  </w:p>
  <w:p w14:paraId="208095FA" w14:textId="6CD9FDE7" w:rsidR="00ED6C09" w:rsidRPr="00F5539A" w:rsidRDefault="00ED6C09" w:rsidP="002C148D">
    <w:pPr>
      <w:pBdr>
        <w:top w:val="single" w:sz="4" w:space="12" w:color="auto"/>
      </w:pBdr>
      <w:jc w:val="center"/>
      <w:outlineLvl w:val="0"/>
      <w:rPr>
        <w:rFonts w:ascii="Arial" w:hAnsi="Arial" w:cs="Arial"/>
        <w:b/>
        <w:sz w:val="16"/>
        <w:szCs w:val="18"/>
        <w:lang w:val="cs-CZ"/>
      </w:rPr>
    </w:pPr>
  </w:p>
  <w:p w14:paraId="7D09FCAC" w14:textId="5BF0A62E" w:rsidR="00E30D65" w:rsidRDefault="007C20CE" w:rsidP="000B3EA7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  <w:r w:rsidRPr="00935EC1">
      <w:rPr>
        <w:noProof/>
        <w:lang w:val="cs-CZ" w:eastAsia="cs-CZ"/>
      </w:rPr>
      <w:drawing>
        <wp:anchor distT="0" distB="0" distL="114300" distR="114300" simplePos="0" relativeHeight="251658242" behindDoc="0" locked="0" layoutInCell="1" allowOverlap="1" wp14:anchorId="3E524B4C" wp14:editId="57460544">
          <wp:simplePos x="0" y="0"/>
          <wp:positionH relativeFrom="column">
            <wp:posOffset>4276725</wp:posOffset>
          </wp:positionH>
          <wp:positionV relativeFrom="paragraph">
            <wp:posOffset>80645</wp:posOffset>
          </wp:positionV>
          <wp:extent cx="681990" cy="388620"/>
          <wp:effectExtent l="0" t="0" r="3810" b="0"/>
          <wp:wrapNone/>
          <wp:docPr id="2" name="Pictur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D65">
      <w:rPr>
        <w:noProof/>
        <w:lang w:val="cs-CZ" w:eastAsia="cs-CZ"/>
      </w:rPr>
      <w:drawing>
        <wp:anchor distT="0" distB="0" distL="114300" distR="114300" simplePos="0" relativeHeight="251658244" behindDoc="0" locked="0" layoutInCell="1" allowOverlap="1" wp14:anchorId="3C352FDC" wp14:editId="55741865">
          <wp:simplePos x="0" y="0"/>
          <wp:positionH relativeFrom="column">
            <wp:posOffset>5577840</wp:posOffset>
          </wp:positionH>
          <wp:positionV relativeFrom="paragraph">
            <wp:posOffset>11430</wp:posOffset>
          </wp:positionV>
          <wp:extent cx="882015" cy="496957"/>
          <wp:effectExtent l="0" t="0" r="0" b="0"/>
          <wp:wrapNone/>
          <wp:docPr id="4" name="Picture 4" descr="Image result for knight frank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result for knight frank log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34" b="22922"/>
                  <a:stretch/>
                </pic:blipFill>
                <pic:spPr bwMode="auto">
                  <a:xfrm>
                    <a:off x="0" y="0"/>
                    <a:ext cx="882015" cy="4969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D65">
      <w:rPr>
        <w:noProof/>
        <w:lang w:val="cs-CZ" w:eastAsia="cs-CZ"/>
      </w:rPr>
      <w:drawing>
        <wp:anchor distT="0" distB="0" distL="114300" distR="114300" simplePos="0" relativeHeight="251658243" behindDoc="0" locked="0" layoutInCell="1" allowOverlap="1" wp14:anchorId="530D1189" wp14:editId="3A242547">
          <wp:simplePos x="0" y="0"/>
          <wp:positionH relativeFrom="column">
            <wp:posOffset>121644</wp:posOffset>
          </wp:positionH>
          <wp:positionV relativeFrom="paragraph">
            <wp:posOffset>125730</wp:posOffset>
          </wp:positionV>
          <wp:extent cx="1093470" cy="275590"/>
          <wp:effectExtent l="0" t="0" r="0" b="0"/>
          <wp:wrapNone/>
          <wp:docPr id="3" name="Picture 3" descr="Image result for cbre logo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cbre logo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D65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5E8E0D81" wp14:editId="06A496CD">
          <wp:simplePos x="0" y="0"/>
          <wp:positionH relativeFrom="column">
            <wp:posOffset>2679976</wp:posOffset>
          </wp:positionH>
          <wp:positionV relativeFrom="paragraph">
            <wp:posOffset>115570</wp:posOffset>
          </wp:positionV>
          <wp:extent cx="1209040" cy="253365"/>
          <wp:effectExtent l="0" t="0" r="0" b="0"/>
          <wp:wrapNone/>
          <wp:docPr id="7" name="Picture 4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>
                    <a:hlinkClick r:id="rId8"/>
                  </pic:cNvPr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D65" w:rsidRPr="00935EC1">
      <w:rPr>
        <w:noProof/>
        <w:lang w:val="cs-CZ" w:eastAsia="cs-CZ"/>
      </w:rPr>
      <w:drawing>
        <wp:anchor distT="0" distB="0" distL="114300" distR="114300" simplePos="0" relativeHeight="251658241" behindDoc="0" locked="0" layoutInCell="1" allowOverlap="1" wp14:anchorId="62A53232" wp14:editId="72E691E1">
          <wp:simplePos x="0" y="0"/>
          <wp:positionH relativeFrom="column">
            <wp:posOffset>1497800</wp:posOffset>
          </wp:positionH>
          <wp:positionV relativeFrom="paragraph">
            <wp:posOffset>48964</wp:posOffset>
          </wp:positionV>
          <wp:extent cx="864577" cy="384258"/>
          <wp:effectExtent l="0" t="0" r="0" b="0"/>
          <wp:wrapNone/>
          <wp:docPr id="9" name="Picture 7" descr="JLL Logo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JLL Logo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77" cy="384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7BEE0" w14:textId="70C1077F" w:rsidR="00E30D65" w:rsidRDefault="00E30D65" w:rsidP="000B3EA7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6806D3ED" w14:textId="1CCA9A72" w:rsidR="00E30D65" w:rsidRDefault="00E30D65" w:rsidP="000B3EA7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0D5F55FD" w14:textId="19776C46" w:rsidR="00E30D65" w:rsidRDefault="00E30D65" w:rsidP="000B3EA7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6"/>
      <w:gridCol w:w="2086"/>
      <w:gridCol w:w="2086"/>
      <w:gridCol w:w="2086"/>
      <w:gridCol w:w="2086"/>
    </w:tblGrid>
    <w:tr w:rsidR="00E30D65" w:rsidRPr="00E30D65" w14:paraId="09ED29B3" w14:textId="77777777" w:rsidTr="00E30D65">
      <w:tc>
        <w:tcPr>
          <w:tcW w:w="2086" w:type="dxa"/>
        </w:tcPr>
        <w:p w14:paraId="080D6A86" w14:textId="07651A88" w:rsidR="00E30D65" w:rsidRPr="00E30D65" w:rsidRDefault="00E30D65" w:rsidP="000B3EA7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+420 224 814 060</w:t>
          </w:r>
        </w:p>
      </w:tc>
      <w:tc>
        <w:tcPr>
          <w:tcW w:w="2086" w:type="dxa"/>
        </w:tcPr>
        <w:p w14:paraId="05BC3FAB" w14:textId="4FD9DAC1" w:rsidR="00E30D65" w:rsidRPr="00E30D65" w:rsidRDefault="00E30D65" w:rsidP="000B3EA7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+420 724 879 065</w:t>
          </w:r>
        </w:p>
      </w:tc>
      <w:tc>
        <w:tcPr>
          <w:tcW w:w="2086" w:type="dxa"/>
        </w:tcPr>
        <w:p w14:paraId="21E34450" w14:textId="0B652DF2" w:rsidR="00E30D65" w:rsidRPr="00E30D65" w:rsidRDefault="00E30D65" w:rsidP="000B3EA7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 xml:space="preserve">420 234 603 </w:t>
          </w:r>
          <w:r w:rsidR="006F1B93">
            <w:rPr>
              <w:rFonts w:ascii="Arial" w:hAnsi="Arial" w:cs="Arial"/>
              <w:sz w:val="16"/>
              <w:szCs w:val="16"/>
              <w:lang w:val="cs-CZ"/>
            </w:rPr>
            <w:t>710</w:t>
          </w:r>
        </w:p>
      </w:tc>
      <w:tc>
        <w:tcPr>
          <w:tcW w:w="2086" w:type="dxa"/>
        </w:tcPr>
        <w:p w14:paraId="26C06597" w14:textId="08AB09AD" w:rsidR="00E30D65" w:rsidRPr="00E30D65" w:rsidRDefault="00E30D65" w:rsidP="000B3EA7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+420 226 537 618</w:t>
          </w:r>
        </w:p>
      </w:tc>
      <w:tc>
        <w:tcPr>
          <w:tcW w:w="2086" w:type="dxa"/>
        </w:tcPr>
        <w:p w14:paraId="3E0611FF" w14:textId="4E2DF0D8" w:rsidR="00E30D65" w:rsidRPr="00E30D65" w:rsidRDefault="00E30D65" w:rsidP="000B3EA7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</w:tr>
  </w:tbl>
  <w:p w14:paraId="75559AA9" w14:textId="52D6DCA8" w:rsidR="00E30D65" w:rsidRDefault="00E30D65" w:rsidP="000B3EA7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0485C3AF" w14:textId="77777777" w:rsidR="00887EEB" w:rsidRPr="008604C9" w:rsidRDefault="00887EEB">
    <w:pPr>
      <w:pStyle w:val="Zpat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40B4C" w14:textId="77777777" w:rsidR="00470946" w:rsidRDefault="00470946" w:rsidP="00470946">
    <w:pPr>
      <w:pStyle w:val="Zpat"/>
      <w:pBdr>
        <w:top w:val="single" w:sz="4" w:space="12" w:color="auto"/>
      </w:pBdr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  <w:r w:rsidRPr="00F5539A">
      <w:rPr>
        <w:rFonts w:ascii="Arial" w:hAnsi="Arial" w:cs="Arial"/>
        <w:b/>
        <w:sz w:val="16"/>
        <w:szCs w:val="18"/>
        <w:lang w:val="cs-CZ"/>
      </w:rPr>
      <w:t>Pro další informace</w:t>
    </w:r>
    <w:r>
      <w:rPr>
        <w:rFonts w:ascii="Arial" w:hAnsi="Arial" w:cs="Arial"/>
        <w:b/>
        <w:sz w:val="16"/>
        <w:szCs w:val="18"/>
        <w:lang w:val="cs-CZ"/>
      </w:rPr>
      <w:t xml:space="preserve"> a stahování našich tiskových zpráv</w:t>
    </w:r>
    <w:r w:rsidRPr="00F5539A">
      <w:rPr>
        <w:rFonts w:ascii="Arial" w:hAnsi="Arial" w:cs="Arial"/>
        <w:b/>
        <w:sz w:val="16"/>
        <w:szCs w:val="18"/>
        <w:lang w:val="cs-CZ"/>
      </w:rPr>
      <w:t xml:space="preserve"> </w:t>
    </w:r>
    <w:r>
      <w:rPr>
        <w:rFonts w:ascii="Arial" w:hAnsi="Arial" w:cs="Arial"/>
        <w:b/>
        <w:sz w:val="16"/>
        <w:szCs w:val="18"/>
        <w:lang w:val="cs-CZ"/>
      </w:rPr>
      <w:t>navštivte prosím naši stránku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 </w:t>
    </w:r>
    <w:hyperlink r:id="rId1" w:history="1">
      <w:r>
        <w:rPr>
          <w:rStyle w:val="Hypertextovodkaz"/>
          <w:rFonts w:ascii="Arial" w:hAnsi="Arial" w:cs="Arial"/>
          <w:b/>
          <w:bCs/>
          <w:noProof/>
          <w:sz w:val="16"/>
          <w:szCs w:val="16"/>
          <w:lang w:val="en-US"/>
        </w:rPr>
        <w:t>www.pragueresearchforum.cz</w:t>
      </w:r>
    </w:hyperlink>
  </w:p>
  <w:p w14:paraId="051E1C63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8249" behindDoc="0" locked="0" layoutInCell="1" allowOverlap="1" wp14:anchorId="2B504A9C" wp14:editId="424B03DC">
          <wp:simplePos x="0" y="0"/>
          <wp:positionH relativeFrom="column">
            <wp:posOffset>5577840</wp:posOffset>
          </wp:positionH>
          <wp:positionV relativeFrom="paragraph">
            <wp:posOffset>11430</wp:posOffset>
          </wp:positionV>
          <wp:extent cx="882015" cy="496957"/>
          <wp:effectExtent l="0" t="0" r="0" b="0"/>
          <wp:wrapNone/>
          <wp:docPr id="11" name="Picture 11" descr="Image result for knight frank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result for knight frank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34" b="22922"/>
                  <a:stretch/>
                </pic:blipFill>
                <pic:spPr bwMode="auto">
                  <a:xfrm>
                    <a:off x="0" y="0"/>
                    <a:ext cx="882015" cy="4969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8" behindDoc="0" locked="0" layoutInCell="1" allowOverlap="1" wp14:anchorId="52DFE9CF" wp14:editId="731990B3">
          <wp:simplePos x="0" y="0"/>
          <wp:positionH relativeFrom="column">
            <wp:posOffset>121644</wp:posOffset>
          </wp:positionH>
          <wp:positionV relativeFrom="paragraph">
            <wp:posOffset>125730</wp:posOffset>
          </wp:positionV>
          <wp:extent cx="1093470" cy="275590"/>
          <wp:effectExtent l="0" t="0" r="0" b="0"/>
          <wp:wrapNone/>
          <wp:docPr id="12" name="Picture 12" descr="Image result for cbre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cbre log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58247" behindDoc="0" locked="0" layoutInCell="1" allowOverlap="1" wp14:anchorId="36D10F73" wp14:editId="0D4A8253">
          <wp:simplePos x="0" y="0"/>
          <wp:positionH relativeFrom="column">
            <wp:posOffset>4280204</wp:posOffset>
          </wp:positionH>
          <wp:positionV relativeFrom="paragraph">
            <wp:posOffset>47625</wp:posOffset>
          </wp:positionV>
          <wp:extent cx="681990" cy="457200"/>
          <wp:effectExtent l="0" t="0" r="3810" b="0"/>
          <wp:wrapNone/>
          <wp:docPr id="13" name="Picture 5" descr="Colliers International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Colliers International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5" behindDoc="0" locked="0" layoutInCell="1" allowOverlap="1" wp14:anchorId="7E7671EE" wp14:editId="20FDB81D">
          <wp:simplePos x="0" y="0"/>
          <wp:positionH relativeFrom="column">
            <wp:posOffset>2679976</wp:posOffset>
          </wp:positionH>
          <wp:positionV relativeFrom="paragraph">
            <wp:posOffset>115570</wp:posOffset>
          </wp:positionV>
          <wp:extent cx="1209040" cy="253365"/>
          <wp:effectExtent l="0" t="0" r="0" b="0"/>
          <wp:wrapNone/>
          <wp:docPr id="14" name="Picture 4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>
                    <a:hlinkClick r:id="rId8"/>
                  </pic:cNvPr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58246" behindDoc="0" locked="0" layoutInCell="1" allowOverlap="1" wp14:anchorId="408D05BB" wp14:editId="7D219E90">
          <wp:simplePos x="0" y="0"/>
          <wp:positionH relativeFrom="column">
            <wp:posOffset>1497800</wp:posOffset>
          </wp:positionH>
          <wp:positionV relativeFrom="paragraph">
            <wp:posOffset>48964</wp:posOffset>
          </wp:positionV>
          <wp:extent cx="864577" cy="384258"/>
          <wp:effectExtent l="0" t="0" r="0" b="0"/>
          <wp:wrapNone/>
          <wp:docPr id="15" name="Picture 7" descr="JLL Logo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JLL Logo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77" cy="384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3AE65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2CB64DE1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68D68DDF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6"/>
      <w:gridCol w:w="2086"/>
      <w:gridCol w:w="2086"/>
      <w:gridCol w:w="2086"/>
      <w:gridCol w:w="2086"/>
    </w:tblGrid>
    <w:tr w:rsidR="00887EEB" w:rsidRPr="00E30D65" w14:paraId="4FD3D77F" w14:textId="77777777" w:rsidTr="002F382C">
      <w:tc>
        <w:tcPr>
          <w:tcW w:w="2086" w:type="dxa"/>
        </w:tcPr>
        <w:p w14:paraId="0A0D9BC0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+420 224 814 060</w:t>
          </w:r>
        </w:p>
      </w:tc>
      <w:tc>
        <w:tcPr>
          <w:tcW w:w="2086" w:type="dxa"/>
        </w:tcPr>
        <w:p w14:paraId="471CD244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+420 724 879 065</w:t>
          </w:r>
        </w:p>
      </w:tc>
      <w:tc>
        <w:tcPr>
          <w:tcW w:w="2086" w:type="dxa"/>
        </w:tcPr>
        <w:p w14:paraId="37BB596A" w14:textId="52F04D39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 xml:space="preserve">420 234 603 </w:t>
          </w:r>
          <w:r w:rsidR="006F1B93">
            <w:rPr>
              <w:rFonts w:ascii="Arial" w:hAnsi="Arial" w:cs="Arial"/>
              <w:sz w:val="16"/>
              <w:szCs w:val="16"/>
              <w:lang w:val="cs-CZ"/>
            </w:rPr>
            <w:t>710</w:t>
          </w:r>
        </w:p>
      </w:tc>
      <w:tc>
        <w:tcPr>
          <w:tcW w:w="2086" w:type="dxa"/>
        </w:tcPr>
        <w:p w14:paraId="296201C3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+420 226 537 618</w:t>
          </w:r>
        </w:p>
      </w:tc>
      <w:tc>
        <w:tcPr>
          <w:tcW w:w="2086" w:type="dxa"/>
        </w:tcPr>
        <w:p w14:paraId="2FEA6FE8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</w:tr>
  </w:tbl>
  <w:p w14:paraId="0CFEF02B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4B404550" w14:textId="77777777" w:rsidR="00887EEB" w:rsidRDefault="00887E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55A5F" w14:textId="77777777" w:rsidR="00AB087E" w:rsidRDefault="00AB087E">
      <w:r>
        <w:separator/>
      </w:r>
    </w:p>
  </w:footnote>
  <w:footnote w:type="continuationSeparator" w:id="0">
    <w:p w14:paraId="5161475E" w14:textId="77777777" w:rsidR="00AB087E" w:rsidRDefault="00AB087E">
      <w:r>
        <w:continuationSeparator/>
      </w:r>
    </w:p>
  </w:footnote>
  <w:footnote w:type="continuationNotice" w:id="1">
    <w:p w14:paraId="23A5E90F" w14:textId="77777777" w:rsidR="00AB087E" w:rsidRDefault="00AB08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74832" w14:textId="63EEF106" w:rsidR="00887EEB" w:rsidRDefault="3935DD58" w:rsidP="245D6067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60A1509D" wp14:editId="0E75288B">
          <wp:extent cx="1386308" cy="349857"/>
          <wp:effectExtent l="0" t="0" r="4445" b="0"/>
          <wp:docPr id="8" name="Picture 8" descr="PR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8" cy="34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7D67"/>
    <w:multiLevelType w:val="hybridMultilevel"/>
    <w:tmpl w:val="68587B3C"/>
    <w:lvl w:ilvl="0" w:tplc="4216C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58A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8B7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A801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1A4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6B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66C08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03E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E7B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44606BE"/>
    <w:multiLevelType w:val="hybridMultilevel"/>
    <w:tmpl w:val="8DF8C71C"/>
    <w:lvl w:ilvl="0" w:tplc="4216C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58A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8B7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A801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1A4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6B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E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E7B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8703D81"/>
    <w:multiLevelType w:val="hybridMultilevel"/>
    <w:tmpl w:val="828A54FA"/>
    <w:lvl w:ilvl="0" w:tplc="78C20C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A68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2B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A5D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ACA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AD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D4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4A4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E3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4494"/>
    <w:multiLevelType w:val="hybridMultilevel"/>
    <w:tmpl w:val="5D7CC49E"/>
    <w:lvl w:ilvl="0" w:tplc="3F66A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286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309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9F4E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58B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041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C05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1AE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A8B8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E692D"/>
    <w:multiLevelType w:val="hybridMultilevel"/>
    <w:tmpl w:val="72E41460"/>
    <w:lvl w:ilvl="0" w:tplc="44584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026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E2E5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67C4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096A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7E1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0D84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669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261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CE30B3"/>
    <w:multiLevelType w:val="hybridMultilevel"/>
    <w:tmpl w:val="ECF662C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DDF6C1E"/>
    <w:multiLevelType w:val="hybridMultilevel"/>
    <w:tmpl w:val="1AD019D4"/>
    <w:lvl w:ilvl="0" w:tplc="32F0B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A63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620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62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50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0B0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0BB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4B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4E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7563"/>
    <w:multiLevelType w:val="hybridMultilevel"/>
    <w:tmpl w:val="4E543AE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0E1A5B"/>
    <w:multiLevelType w:val="hybridMultilevel"/>
    <w:tmpl w:val="B1D4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4B"/>
    <w:rsid w:val="00002F67"/>
    <w:rsid w:val="00004153"/>
    <w:rsid w:val="000041B5"/>
    <w:rsid w:val="00006002"/>
    <w:rsid w:val="000064CC"/>
    <w:rsid w:val="000101B5"/>
    <w:rsid w:val="00010D3C"/>
    <w:rsid w:val="00013038"/>
    <w:rsid w:val="000132AC"/>
    <w:rsid w:val="000144A2"/>
    <w:rsid w:val="000150B4"/>
    <w:rsid w:val="000171AF"/>
    <w:rsid w:val="00022503"/>
    <w:rsid w:val="000249A2"/>
    <w:rsid w:val="00025009"/>
    <w:rsid w:val="0002787A"/>
    <w:rsid w:val="00027F9C"/>
    <w:rsid w:val="000328FB"/>
    <w:rsid w:val="00035C62"/>
    <w:rsid w:val="00036679"/>
    <w:rsid w:val="00042768"/>
    <w:rsid w:val="0004294A"/>
    <w:rsid w:val="00044132"/>
    <w:rsid w:val="000445FE"/>
    <w:rsid w:val="00045745"/>
    <w:rsid w:val="00047EA2"/>
    <w:rsid w:val="00052EEC"/>
    <w:rsid w:val="00054FCD"/>
    <w:rsid w:val="000565AD"/>
    <w:rsid w:val="00060997"/>
    <w:rsid w:val="000635B7"/>
    <w:rsid w:val="00070F90"/>
    <w:rsid w:val="00072157"/>
    <w:rsid w:val="0008005D"/>
    <w:rsid w:val="000849BF"/>
    <w:rsid w:val="00087EF4"/>
    <w:rsid w:val="00093DC5"/>
    <w:rsid w:val="000979F6"/>
    <w:rsid w:val="000A1310"/>
    <w:rsid w:val="000A171F"/>
    <w:rsid w:val="000A2675"/>
    <w:rsid w:val="000A5086"/>
    <w:rsid w:val="000B016F"/>
    <w:rsid w:val="000B0A9B"/>
    <w:rsid w:val="000B3EA7"/>
    <w:rsid w:val="000B573E"/>
    <w:rsid w:val="000B64BD"/>
    <w:rsid w:val="000B777F"/>
    <w:rsid w:val="000C38D8"/>
    <w:rsid w:val="000C403A"/>
    <w:rsid w:val="000C69AE"/>
    <w:rsid w:val="000C6F4B"/>
    <w:rsid w:val="000D084C"/>
    <w:rsid w:val="000D0CAE"/>
    <w:rsid w:val="000D2152"/>
    <w:rsid w:val="000D2940"/>
    <w:rsid w:val="000D4573"/>
    <w:rsid w:val="000D4987"/>
    <w:rsid w:val="000D7B6B"/>
    <w:rsid w:val="000E3F06"/>
    <w:rsid w:val="000E78EE"/>
    <w:rsid w:val="000E7C8D"/>
    <w:rsid w:val="000F19A3"/>
    <w:rsid w:val="000F1FDF"/>
    <w:rsid w:val="000F2633"/>
    <w:rsid w:val="000F2B25"/>
    <w:rsid w:val="000F52DA"/>
    <w:rsid w:val="000F56EC"/>
    <w:rsid w:val="000F645B"/>
    <w:rsid w:val="001004A1"/>
    <w:rsid w:val="00100749"/>
    <w:rsid w:val="00101F07"/>
    <w:rsid w:val="00105C20"/>
    <w:rsid w:val="001110E5"/>
    <w:rsid w:val="0011154C"/>
    <w:rsid w:val="00112E76"/>
    <w:rsid w:val="00114305"/>
    <w:rsid w:val="0011618B"/>
    <w:rsid w:val="001211E9"/>
    <w:rsid w:val="001216B2"/>
    <w:rsid w:val="00121CA0"/>
    <w:rsid w:val="00122FCE"/>
    <w:rsid w:val="0012422F"/>
    <w:rsid w:val="0012457C"/>
    <w:rsid w:val="001263B0"/>
    <w:rsid w:val="001302E1"/>
    <w:rsid w:val="00130D26"/>
    <w:rsid w:val="00131437"/>
    <w:rsid w:val="001316C0"/>
    <w:rsid w:val="00131A35"/>
    <w:rsid w:val="00132F99"/>
    <w:rsid w:val="00133EED"/>
    <w:rsid w:val="00134F2B"/>
    <w:rsid w:val="0013500F"/>
    <w:rsid w:val="001360C3"/>
    <w:rsid w:val="00142B80"/>
    <w:rsid w:val="00142BC2"/>
    <w:rsid w:val="00143DDC"/>
    <w:rsid w:val="00144BEE"/>
    <w:rsid w:val="00145278"/>
    <w:rsid w:val="0014555C"/>
    <w:rsid w:val="00145F37"/>
    <w:rsid w:val="00147321"/>
    <w:rsid w:val="00147F26"/>
    <w:rsid w:val="00161D55"/>
    <w:rsid w:val="001622A4"/>
    <w:rsid w:val="001646B2"/>
    <w:rsid w:val="00165050"/>
    <w:rsid w:val="00165A53"/>
    <w:rsid w:val="00166074"/>
    <w:rsid w:val="00167852"/>
    <w:rsid w:val="001708A4"/>
    <w:rsid w:val="00173B66"/>
    <w:rsid w:val="001802E3"/>
    <w:rsid w:val="00184B16"/>
    <w:rsid w:val="0018505F"/>
    <w:rsid w:val="001861DC"/>
    <w:rsid w:val="001867FD"/>
    <w:rsid w:val="0019038C"/>
    <w:rsid w:val="001924D2"/>
    <w:rsid w:val="001937C0"/>
    <w:rsid w:val="00195CF6"/>
    <w:rsid w:val="0019669C"/>
    <w:rsid w:val="001A1D0A"/>
    <w:rsid w:val="001A43DC"/>
    <w:rsid w:val="001A4EAE"/>
    <w:rsid w:val="001A601E"/>
    <w:rsid w:val="001A6DCF"/>
    <w:rsid w:val="001A6F73"/>
    <w:rsid w:val="001A73A7"/>
    <w:rsid w:val="001B0969"/>
    <w:rsid w:val="001B0B35"/>
    <w:rsid w:val="001B5C63"/>
    <w:rsid w:val="001C1109"/>
    <w:rsid w:val="001C2214"/>
    <w:rsid w:val="001C6C86"/>
    <w:rsid w:val="001D1E11"/>
    <w:rsid w:val="001D20C3"/>
    <w:rsid w:val="001D38DF"/>
    <w:rsid w:val="001D4900"/>
    <w:rsid w:val="001D6067"/>
    <w:rsid w:val="001E1ECF"/>
    <w:rsid w:val="001E1FB0"/>
    <w:rsid w:val="001E3748"/>
    <w:rsid w:val="001E4EAD"/>
    <w:rsid w:val="001E51EE"/>
    <w:rsid w:val="001E7F1E"/>
    <w:rsid w:val="001F176C"/>
    <w:rsid w:val="001F2A85"/>
    <w:rsid w:val="001F3207"/>
    <w:rsid w:val="001F325B"/>
    <w:rsid w:val="001F4583"/>
    <w:rsid w:val="001F5BBF"/>
    <w:rsid w:val="00202B5C"/>
    <w:rsid w:val="00203CBA"/>
    <w:rsid w:val="002065B3"/>
    <w:rsid w:val="00206E42"/>
    <w:rsid w:val="00212857"/>
    <w:rsid w:val="00222F73"/>
    <w:rsid w:val="002230D9"/>
    <w:rsid w:val="002258E0"/>
    <w:rsid w:val="0022709F"/>
    <w:rsid w:val="002275A6"/>
    <w:rsid w:val="00227E79"/>
    <w:rsid w:val="00230D5C"/>
    <w:rsid w:val="00233175"/>
    <w:rsid w:val="00235FFB"/>
    <w:rsid w:val="00236041"/>
    <w:rsid w:val="002365B7"/>
    <w:rsid w:val="00237097"/>
    <w:rsid w:val="00237E5C"/>
    <w:rsid w:val="0024329B"/>
    <w:rsid w:val="00244C24"/>
    <w:rsid w:val="002506B4"/>
    <w:rsid w:val="00252600"/>
    <w:rsid w:val="00253250"/>
    <w:rsid w:val="00255497"/>
    <w:rsid w:val="00255BA7"/>
    <w:rsid w:val="002562F6"/>
    <w:rsid w:val="00261187"/>
    <w:rsid w:val="002628AF"/>
    <w:rsid w:val="00264964"/>
    <w:rsid w:val="00266DA1"/>
    <w:rsid w:val="00271919"/>
    <w:rsid w:val="002736FB"/>
    <w:rsid w:val="0027408E"/>
    <w:rsid w:val="00275B4B"/>
    <w:rsid w:val="00275D06"/>
    <w:rsid w:val="00275F8B"/>
    <w:rsid w:val="00276E2C"/>
    <w:rsid w:val="00280712"/>
    <w:rsid w:val="002826F1"/>
    <w:rsid w:val="00282978"/>
    <w:rsid w:val="00282AEC"/>
    <w:rsid w:val="002835CA"/>
    <w:rsid w:val="00283985"/>
    <w:rsid w:val="00293DA5"/>
    <w:rsid w:val="00293F31"/>
    <w:rsid w:val="0029511B"/>
    <w:rsid w:val="002975B6"/>
    <w:rsid w:val="002979E6"/>
    <w:rsid w:val="00297E6B"/>
    <w:rsid w:val="002A1784"/>
    <w:rsid w:val="002A3A69"/>
    <w:rsid w:val="002A6E73"/>
    <w:rsid w:val="002A6F2A"/>
    <w:rsid w:val="002B13A9"/>
    <w:rsid w:val="002B1895"/>
    <w:rsid w:val="002B1D03"/>
    <w:rsid w:val="002B28A7"/>
    <w:rsid w:val="002B3E60"/>
    <w:rsid w:val="002B5766"/>
    <w:rsid w:val="002B6932"/>
    <w:rsid w:val="002C148D"/>
    <w:rsid w:val="002C22E3"/>
    <w:rsid w:val="002D1252"/>
    <w:rsid w:val="002D2354"/>
    <w:rsid w:val="002D6996"/>
    <w:rsid w:val="002E0726"/>
    <w:rsid w:val="002E480B"/>
    <w:rsid w:val="002E5F78"/>
    <w:rsid w:val="002E6EA3"/>
    <w:rsid w:val="002E7A4A"/>
    <w:rsid w:val="002F382C"/>
    <w:rsid w:val="002F3D52"/>
    <w:rsid w:val="002F49A7"/>
    <w:rsid w:val="002F519B"/>
    <w:rsid w:val="0030002C"/>
    <w:rsid w:val="00300FF2"/>
    <w:rsid w:val="00305EF7"/>
    <w:rsid w:val="00310389"/>
    <w:rsid w:val="00313636"/>
    <w:rsid w:val="00317177"/>
    <w:rsid w:val="00321E97"/>
    <w:rsid w:val="003253AE"/>
    <w:rsid w:val="003261A1"/>
    <w:rsid w:val="00327F50"/>
    <w:rsid w:val="00332874"/>
    <w:rsid w:val="00332CC6"/>
    <w:rsid w:val="00333194"/>
    <w:rsid w:val="00334D09"/>
    <w:rsid w:val="0033516F"/>
    <w:rsid w:val="0033571D"/>
    <w:rsid w:val="00335BCD"/>
    <w:rsid w:val="00336D33"/>
    <w:rsid w:val="00340616"/>
    <w:rsid w:val="00342DEF"/>
    <w:rsid w:val="00342F66"/>
    <w:rsid w:val="00347AEE"/>
    <w:rsid w:val="003546FC"/>
    <w:rsid w:val="003548D7"/>
    <w:rsid w:val="0035597D"/>
    <w:rsid w:val="003569F8"/>
    <w:rsid w:val="00356EEE"/>
    <w:rsid w:val="00360266"/>
    <w:rsid w:val="00363BAF"/>
    <w:rsid w:val="00364513"/>
    <w:rsid w:val="003660BD"/>
    <w:rsid w:val="003709C1"/>
    <w:rsid w:val="00372290"/>
    <w:rsid w:val="0037311F"/>
    <w:rsid w:val="00373C7D"/>
    <w:rsid w:val="00374E3F"/>
    <w:rsid w:val="003751A9"/>
    <w:rsid w:val="00380865"/>
    <w:rsid w:val="003829F2"/>
    <w:rsid w:val="00383170"/>
    <w:rsid w:val="00383493"/>
    <w:rsid w:val="003844A3"/>
    <w:rsid w:val="003848FD"/>
    <w:rsid w:val="0038596F"/>
    <w:rsid w:val="0038654E"/>
    <w:rsid w:val="00393350"/>
    <w:rsid w:val="003934C3"/>
    <w:rsid w:val="003950E5"/>
    <w:rsid w:val="00395E8D"/>
    <w:rsid w:val="00397F8D"/>
    <w:rsid w:val="003A38A6"/>
    <w:rsid w:val="003A3DC5"/>
    <w:rsid w:val="003A49F7"/>
    <w:rsid w:val="003A647E"/>
    <w:rsid w:val="003B1742"/>
    <w:rsid w:val="003B520B"/>
    <w:rsid w:val="003C0EB8"/>
    <w:rsid w:val="003C0F9A"/>
    <w:rsid w:val="003C2E5E"/>
    <w:rsid w:val="003C5EF3"/>
    <w:rsid w:val="003C7BAE"/>
    <w:rsid w:val="003D0937"/>
    <w:rsid w:val="003D0DD9"/>
    <w:rsid w:val="003D2386"/>
    <w:rsid w:val="003D6623"/>
    <w:rsid w:val="003D72C7"/>
    <w:rsid w:val="003E67DD"/>
    <w:rsid w:val="003F479C"/>
    <w:rsid w:val="003F4C09"/>
    <w:rsid w:val="003F507D"/>
    <w:rsid w:val="003F5355"/>
    <w:rsid w:val="0040018C"/>
    <w:rsid w:val="00400615"/>
    <w:rsid w:val="0040734F"/>
    <w:rsid w:val="00407C77"/>
    <w:rsid w:val="00412C84"/>
    <w:rsid w:val="004147F2"/>
    <w:rsid w:val="00414B8F"/>
    <w:rsid w:val="00416142"/>
    <w:rsid w:val="004171EA"/>
    <w:rsid w:val="004211A6"/>
    <w:rsid w:val="00421EE4"/>
    <w:rsid w:val="00422AED"/>
    <w:rsid w:val="00423739"/>
    <w:rsid w:val="00431FA9"/>
    <w:rsid w:val="00432FC9"/>
    <w:rsid w:val="0043794E"/>
    <w:rsid w:val="00437A82"/>
    <w:rsid w:val="00437AF0"/>
    <w:rsid w:val="00440DEC"/>
    <w:rsid w:val="00441558"/>
    <w:rsid w:val="004424FE"/>
    <w:rsid w:val="00443794"/>
    <w:rsid w:val="00445A2C"/>
    <w:rsid w:val="00452E9C"/>
    <w:rsid w:val="00453765"/>
    <w:rsid w:val="00454274"/>
    <w:rsid w:val="00461A74"/>
    <w:rsid w:val="0046271A"/>
    <w:rsid w:val="0046325F"/>
    <w:rsid w:val="00463B2D"/>
    <w:rsid w:val="00463C75"/>
    <w:rsid w:val="00464037"/>
    <w:rsid w:val="004656E4"/>
    <w:rsid w:val="00466CCF"/>
    <w:rsid w:val="0047052A"/>
    <w:rsid w:val="00470946"/>
    <w:rsid w:val="004717F5"/>
    <w:rsid w:val="00472C8A"/>
    <w:rsid w:val="004738D5"/>
    <w:rsid w:val="00474004"/>
    <w:rsid w:val="00474B8A"/>
    <w:rsid w:val="00475A2A"/>
    <w:rsid w:val="0048262D"/>
    <w:rsid w:val="0048735A"/>
    <w:rsid w:val="004912CE"/>
    <w:rsid w:val="00491636"/>
    <w:rsid w:val="0049367A"/>
    <w:rsid w:val="00494D5D"/>
    <w:rsid w:val="00494DFD"/>
    <w:rsid w:val="00495AEB"/>
    <w:rsid w:val="004A0512"/>
    <w:rsid w:val="004A0B8E"/>
    <w:rsid w:val="004A2ACF"/>
    <w:rsid w:val="004A2F1A"/>
    <w:rsid w:val="004A49D6"/>
    <w:rsid w:val="004A4C62"/>
    <w:rsid w:val="004A6D8A"/>
    <w:rsid w:val="004A6DFC"/>
    <w:rsid w:val="004B26BE"/>
    <w:rsid w:val="004B2EAC"/>
    <w:rsid w:val="004B457F"/>
    <w:rsid w:val="004B6A2D"/>
    <w:rsid w:val="004B7CF2"/>
    <w:rsid w:val="004C64EF"/>
    <w:rsid w:val="004C7F19"/>
    <w:rsid w:val="004D0381"/>
    <w:rsid w:val="004D15C5"/>
    <w:rsid w:val="004D3A28"/>
    <w:rsid w:val="004D3A89"/>
    <w:rsid w:val="004D60A6"/>
    <w:rsid w:val="004E154F"/>
    <w:rsid w:val="004E5005"/>
    <w:rsid w:val="004E663D"/>
    <w:rsid w:val="004F395E"/>
    <w:rsid w:val="004F5D43"/>
    <w:rsid w:val="00501622"/>
    <w:rsid w:val="00502724"/>
    <w:rsid w:val="00502940"/>
    <w:rsid w:val="0050301E"/>
    <w:rsid w:val="0050417A"/>
    <w:rsid w:val="00504CF3"/>
    <w:rsid w:val="00504EAD"/>
    <w:rsid w:val="00505EED"/>
    <w:rsid w:val="005065D2"/>
    <w:rsid w:val="00515E73"/>
    <w:rsid w:val="00516814"/>
    <w:rsid w:val="0051766B"/>
    <w:rsid w:val="00521897"/>
    <w:rsid w:val="00522842"/>
    <w:rsid w:val="00522C37"/>
    <w:rsid w:val="00522F33"/>
    <w:rsid w:val="00524090"/>
    <w:rsid w:val="00524BA9"/>
    <w:rsid w:val="00525979"/>
    <w:rsid w:val="00526676"/>
    <w:rsid w:val="005307BF"/>
    <w:rsid w:val="0053136A"/>
    <w:rsid w:val="005314E4"/>
    <w:rsid w:val="005349FD"/>
    <w:rsid w:val="0053736F"/>
    <w:rsid w:val="00540E27"/>
    <w:rsid w:val="005414CF"/>
    <w:rsid w:val="00544C22"/>
    <w:rsid w:val="00544DE4"/>
    <w:rsid w:val="0054603C"/>
    <w:rsid w:val="005476A3"/>
    <w:rsid w:val="00552BCC"/>
    <w:rsid w:val="00554E7A"/>
    <w:rsid w:val="00554E92"/>
    <w:rsid w:val="005568A5"/>
    <w:rsid w:val="00556DEE"/>
    <w:rsid w:val="00557F71"/>
    <w:rsid w:val="005603CF"/>
    <w:rsid w:val="005608E5"/>
    <w:rsid w:val="005619BF"/>
    <w:rsid w:val="00562597"/>
    <w:rsid w:val="00572179"/>
    <w:rsid w:val="00572EF1"/>
    <w:rsid w:val="00573300"/>
    <w:rsid w:val="00573FAC"/>
    <w:rsid w:val="005741B8"/>
    <w:rsid w:val="005741ED"/>
    <w:rsid w:val="00574DB4"/>
    <w:rsid w:val="00577767"/>
    <w:rsid w:val="005811E9"/>
    <w:rsid w:val="005844D4"/>
    <w:rsid w:val="005946A1"/>
    <w:rsid w:val="00596216"/>
    <w:rsid w:val="00597C43"/>
    <w:rsid w:val="005A2E0C"/>
    <w:rsid w:val="005A2ECD"/>
    <w:rsid w:val="005A2F36"/>
    <w:rsid w:val="005A418B"/>
    <w:rsid w:val="005A4B30"/>
    <w:rsid w:val="005A5666"/>
    <w:rsid w:val="005B2C2A"/>
    <w:rsid w:val="005B3460"/>
    <w:rsid w:val="005B4811"/>
    <w:rsid w:val="005B761D"/>
    <w:rsid w:val="005C0EF6"/>
    <w:rsid w:val="005C36BE"/>
    <w:rsid w:val="005C383C"/>
    <w:rsid w:val="005C442F"/>
    <w:rsid w:val="005C4CD5"/>
    <w:rsid w:val="005C54DA"/>
    <w:rsid w:val="005C5A61"/>
    <w:rsid w:val="005C5AB2"/>
    <w:rsid w:val="005C69F0"/>
    <w:rsid w:val="005D1124"/>
    <w:rsid w:val="005D16A5"/>
    <w:rsid w:val="005D2598"/>
    <w:rsid w:val="005D3DC4"/>
    <w:rsid w:val="005D3F1A"/>
    <w:rsid w:val="005D502D"/>
    <w:rsid w:val="005D5BB4"/>
    <w:rsid w:val="005D6C41"/>
    <w:rsid w:val="005D7D31"/>
    <w:rsid w:val="005E473A"/>
    <w:rsid w:val="005E636F"/>
    <w:rsid w:val="005F0709"/>
    <w:rsid w:val="005F0832"/>
    <w:rsid w:val="005F2CBF"/>
    <w:rsid w:val="005F44B9"/>
    <w:rsid w:val="005F6AC7"/>
    <w:rsid w:val="005F6B13"/>
    <w:rsid w:val="005F6B8F"/>
    <w:rsid w:val="005F758B"/>
    <w:rsid w:val="005F7AB2"/>
    <w:rsid w:val="005F7B06"/>
    <w:rsid w:val="005F7B89"/>
    <w:rsid w:val="0060054C"/>
    <w:rsid w:val="00601030"/>
    <w:rsid w:val="00602523"/>
    <w:rsid w:val="00602C98"/>
    <w:rsid w:val="006054A2"/>
    <w:rsid w:val="006054A3"/>
    <w:rsid w:val="00611172"/>
    <w:rsid w:val="00613020"/>
    <w:rsid w:val="00613C8D"/>
    <w:rsid w:val="00613E80"/>
    <w:rsid w:val="00622E37"/>
    <w:rsid w:val="00624002"/>
    <w:rsid w:val="00624877"/>
    <w:rsid w:val="00625A75"/>
    <w:rsid w:val="00625C8A"/>
    <w:rsid w:val="006260E6"/>
    <w:rsid w:val="006317D8"/>
    <w:rsid w:val="00633759"/>
    <w:rsid w:val="006341C2"/>
    <w:rsid w:val="006356CB"/>
    <w:rsid w:val="00641F01"/>
    <w:rsid w:val="00642499"/>
    <w:rsid w:val="00644EE6"/>
    <w:rsid w:val="00645EF7"/>
    <w:rsid w:val="0064654B"/>
    <w:rsid w:val="006500B1"/>
    <w:rsid w:val="0065037D"/>
    <w:rsid w:val="006538EE"/>
    <w:rsid w:val="00654122"/>
    <w:rsid w:val="00655234"/>
    <w:rsid w:val="00656E76"/>
    <w:rsid w:val="00660E31"/>
    <w:rsid w:val="006651F2"/>
    <w:rsid w:val="00667310"/>
    <w:rsid w:val="00667B46"/>
    <w:rsid w:val="00667C3F"/>
    <w:rsid w:val="006728E5"/>
    <w:rsid w:val="00674C33"/>
    <w:rsid w:val="00675070"/>
    <w:rsid w:val="006761F6"/>
    <w:rsid w:val="00677B01"/>
    <w:rsid w:val="00681F95"/>
    <w:rsid w:val="0068288B"/>
    <w:rsid w:val="00682A44"/>
    <w:rsid w:val="0068409A"/>
    <w:rsid w:val="0069279E"/>
    <w:rsid w:val="00693899"/>
    <w:rsid w:val="00695071"/>
    <w:rsid w:val="00697242"/>
    <w:rsid w:val="006975C3"/>
    <w:rsid w:val="006A470E"/>
    <w:rsid w:val="006A64A1"/>
    <w:rsid w:val="006A66F9"/>
    <w:rsid w:val="006B0717"/>
    <w:rsid w:val="006B07AB"/>
    <w:rsid w:val="006B084C"/>
    <w:rsid w:val="006B1608"/>
    <w:rsid w:val="006B320A"/>
    <w:rsid w:val="006B48F4"/>
    <w:rsid w:val="006B67B8"/>
    <w:rsid w:val="006B74AA"/>
    <w:rsid w:val="006B750D"/>
    <w:rsid w:val="006C31A0"/>
    <w:rsid w:val="006C5BA9"/>
    <w:rsid w:val="006C5C77"/>
    <w:rsid w:val="006C5DA5"/>
    <w:rsid w:val="006D1C44"/>
    <w:rsid w:val="006D6504"/>
    <w:rsid w:val="006D656E"/>
    <w:rsid w:val="006E1E54"/>
    <w:rsid w:val="006E3366"/>
    <w:rsid w:val="006E5289"/>
    <w:rsid w:val="006E52A8"/>
    <w:rsid w:val="006E6366"/>
    <w:rsid w:val="006F1B93"/>
    <w:rsid w:val="006F3D0D"/>
    <w:rsid w:val="006F48F7"/>
    <w:rsid w:val="006F5409"/>
    <w:rsid w:val="006F5B99"/>
    <w:rsid w:val="006F6AC6"/>
    <w:rsid w:val="006F7EC3"/>
    <w:rsid w:val="0070055A"/>
    <w:rsid w:val="007010C5"/>
    <w:rsid w:val="00702258"/>
    <w:rsid w:val="00702650"/>
    <w:rsid w:val="00702AFF"/>
    <w:rsid w:val="00703BD9"/>
    <w:rsid w:val="00707300"/>
    <w:rsid w:val="00711E3E"/>
    <w:rsid w:val="007207F5"/>
    <w:rsid w:val="0072293E"/>
    <w:rsid w:val="007279C2"/>
    <w:rsid w:val="00734B85"/>
    <w:rsid w:val="007365AA"/>
    <w:rsid w:val="00737450"/>
    <w:rsid w:val="007401A6"/>
    <w:rsid w:val="00740F97"/>
    <w:rsid w:val="007421A1"/>
    <w:rsid w:val="00745E6E"/>
    <w:rsid w:val="00746746"/>
    <w:rsid w:val="00750126"/>
    <w:rsid w:val="00751A8F"/>
    <w:rsid w:val="00753B54"/>
    <w:rsid w:val="007551C8"/>
    <w:rsid w:val="00755E64"/>
    <w:rsid w:val="0075629B"/>
    <w:rsid w:val="00757679"/>
    <w:rsid w:val="007577E6"/>
    <w:rsid w:val="00760346"/>
    <w:rsid w:val="00760AAF"/>
    <w:rsid w:val="007611F8"/>
    <w:rsid w:val="007619F9"/>
    <w:rsid w:val="00765C0A"/>
    <w:rsid w:val="00765FB5"/>
    <w:rsid w:val="00766150"/>
    <w:rsid w:val="007700D2"/>
    <w:rsid w:val="00770EEA"/>
    <w:rsid w:val="0077491D"/>
    <w:rsid w:val="00775B02"/>
    <w:rsid w:val="007770F4"/>
    <w:rsid w:val="00777874"/>
    <w:rsid w:val="0078025A"/>
    <w:rsid w:val="007862DD"/>
    <w:rsid w:val="00787A33"/>
    <w:rsid w:val="007906BB"/>
    <w:rsid w:val="00792B51"/>
    <w:rsid w:val="007934CF"/>
    <w:rsid w:val="007A210E"/>
    <w:rsid w:val="007A2F47"/>
    <w:rsid w:val="007A40E3"/>
    <w:rsid w:val="007A4C42"/>
    <w:rsid w:val="007A6576"/>
    <w:rsid w:val="007A684F"/>
    <w:rsid w:val="007B1C12"/>
    <w:rsid w:val="007B4EC8"/>
    <w:rsid w:val="007B6CA2"/>
    <w:rsid w:val="007B772D"/>
    <w:rsid w:val="007B7E69"/>
    <w:rsid w:val="007C17F2"/>
    <w:rsid w:val="007C20CE"/>
    <w:rsid w:val="007C2517"/>
    <w:rsid w:val="007C616E"/>
    <w:rsid w:val="007C6337"/>
    <w:rsid w:val="007D0860"/>
    <w:rsid w:val="007D1B6D"/>
    <w:rsid w:val="007D6B88"/>
    <w:rsid w:val="007E0441"/>
    <w:rsid w:val="007E2043"/>
    <w:rsid w:val="007E3719"/>
    <w:rsid w:val="007E4C6D"/>
    <w:rsid w:val="007E6328"/>
    <w:rsid w:val="007E6B50"/>
    <w:rsid w:val="007F30EA"/>
    <w:rsid w:val="007F6F5E"/>
    <w:rsid w:val="00800DDC"/>
    <w:rsid w:val="008039DA"/>
    <w:rsid w:val="00805817"/>
    <w:rsid w:val="00806028"/>
    <w:rsid w:val="008062D7"/>
    <w:rsid w:val="008064E7"/>
    <w:rsid w:val="00810587"/>
    <w:rsid w:val="0081149E"/>
    <w:rsid w:val="00811701"/>
    <w:rsid w:val="008134D1"/>
    <w:rsid w:val="008156C1"/>
    <w:rsid w:val="008164E1"/>
    <w:rsid w:val="00816C8C"/>
    <w:rsid w:val="00822957"/>
    <w:rsid w:val="00825A39"/>
    <w:rsid w:val="00826E57"/>
    <w:rsid w:val="008274A0"/>
    <w:rsid w:val="00831A28"/>
    <w:rsid w:val="00832E7E"/>
    <w:rsid w:val="00834053"/>
    <w:rsid w:val="008370F3"/>
    <w:rsid w:val="008372BE"/>
    <w:rsid w:val="0084188F"/>
    <w:rsid w:val="0084277D"/>
    <w:rsid w:val="00842851"/>
    <w:rsid w:val="00842941"/>
    <w:rsid w:val="00843D58"/>
    <w:rsid w:val="00846548"/>
    <w:rsid w:val="008471F1"/>
    <w:rsid w:val="008518D1"/>
    <w:rsid w:val="00852309"/>
    <w:rsid w:val="00852949"/>
    <w:rsid w:val="0085416C"/>
    <w:rsid w:val="00854226"/>
    <w:rsid w:val="00854AA4"/>
    <w:rsid w:val="00854AEF"/>
    <w:rsid w:val="008560AD"/>
    <w:rsid w:val="008563E5"/>
    <w:rsid w:val="00856AC9"/>
    <w:rsid w:val="008604C9"/>
    <w:rsid w:val="00861D45"/>
    <w:rsid w:val="00864087"/>
    <w:rsid w:val="00865E84"/>
    <w:rsid w:val="00871EA0"/>
    <w:rsid w:val="008744B1"/>
    <w:rsid w:val="00875B5C"/>
    <w:rsid w:val="008801EE"/>
    <w:rsid w:val="00880224"/>
    <w:rsid w:val="008811E3"/>
    <w:rsid w:val="00882787"/>
    <w:rsid w:val="008835B7"/>
    <w:rsid w:val="00883CB4"/>
    <w:rsid w:val="00884448"/>
    <w:rsid w:val="00884B4E"/>
    <w:rsid w:val="0088568D"/>
    <w:rsid w:val="00887EEB"/>
    <w:rsid w:val="008901D1"/>
    <w:rsid w:val="008902CE"/>
    <w:rsid w:val="00890B43"/>
    <w:rsid w:val="00893790"/>
    <w:rsid w:val="008938B4"/>
    <w:rsid w:val="00893CFD"/>
    <w:rsid w:val="00893D1D"/>
    <w:rsid w:val="00895573"/>
    <w:rsid w:val="008956D0"/>
    <w:rsid w:val="008967AA"/>
    <w:rsid w:val="008A0AC9"/>
    <w:rsid w:val="008A0E62"/>
    <w:rsid w:val="008A201A"/>
    <w:rsid w:val="008A7BD8"/>
    <w:rsid w:val="008B12FC"/>
    <w:rsid w:val="008B2CB1"/>
    <w:rsid w:val="008B337E"/>
    <w:rsid w:val="008B4BFC"/>
    <w:rsid w:val="008B623C"/>
    <w:rsid w:val="008B6773"/>
    <w:rsid w:val="008B6F8E"/>
    <w:rsid w:val="008B730E"/>
    <w:rsid w:val="008C3D3C"/>
    <w:rsid w:val="008C67E0"/>
    <w:rsid w:val="008C69FC"/>
    <w:rsid w:val="008C7E72"/>
    <w:rsid w:val="008D0ABA"/>
    <w:rsid w:val="008D1D4C"/>
    <w:rsid w:val="008D1F6D"/>
    <w:rsid w:val="008D32E8"/>
    <w:rsid w:val="008D4963"/>
    <w:rsid w:val="008D5261"/>
    <w:rsid w:val="008D59D2"/>
    <w:rsid w:val="008D60AF"/>
    <w:rsid w:val="008D7559"/>
    <w:rsid w:val="008E14AB"/>
    <w:rsid w:val="008E15A7"/>
    <w:rsid w:val="008E3204"/>
    <w:rsid w:val="008E3291"/>
    <w:rsid w:val="008E775B"/>
    <w:rsid w:val="008F2D1E"/>
    <w:rsid w:val="008F2D5F"/>
    <w:rsid w:val="008F49AA"/>
    <w:rsid w:val="008F6726"/>
    <w:rsid w:val="008F733C"/>
    <w:rsid w:val="008F7FEE"/>
    <w:rsid w:val="0090291C"/>
    <w:rsid w:val="00902E5D"/>
    <w:rsid w:val="009056A6"/>
    <w:rsid w:val="0090646D"/>
    <w:rsid w:val="00907472"/>
    <w:rsid w:val="00911339"/>
    <w:rsid w:val="00911D83"/>
    <w:rsid w:val="009132AF"/>
    <w:rsid w:val="009237DF"/>
    <w:rsid w:val="00924AC2"/>
    <w:rsid w:val="00925697"/>
    <w:rsid w:val="0092686B"/>
    <w:rsid w:val="00926D1C"/>
    <w:rsid w:val="00932169"/>
    <w:rsid w:val="00932205"/>
    <w:rsid w:val="00933E30"/>
    <w:rsid w:val="00934723"/>
    <w:rsid w:val="0094120C"/>
    <w:rsid w:val="009432A4"/>
    <w:rsid w:val="009435E6"/>
    <w:rsid w:val="00945A4D"/>
    <w:rsid w:val="00946A60"/>
    <w:rsid w:val="00947001"/>
    <w:rsid w:val="00947ED2"/>
    <w:rsid w:val="00952E00"/>
    <w:rsid w:val="00954DA5"/>
    <w:rsid w:val="00955D95"/>
    <w:rsid w:val="00957A0E"/>
    <w:rsid w:val="00960569"/>
    <w:rsid w:val="00960A1C"/>
    <w:rsid w:val="009624F0"/>
    <w:rsid w:val="00964D61"/>
    <w:rsid w:val="00965665"/>
    <w:rsid w:val="00970093"/>
    <w:rsid w:val="00970675"/>
    <w:rsid w:val="00970DD3"/>
    <w:rsid w:val="00974072"/>
    <w:rsid w:val="009744D2"/>
    <w:rsid w:val="00975980"/>
    <w:rsid w:val="00980583"/>
    <w:rsid w:val="00980C2D"/>
    <w:rsid w:val="00980DAC"/>
    <w:rsid w:val="0098111A"/>
    <w:rsid w:val="0098297E"/>
    <w:rsid w:val="00983884"/>
    <w:rsid w:val="009845A1"/>
    <w:rsid w:val="00984652"/>
    <w:rsid w:val="009854CA"/>
    <w:rsid w:val="00986800"/>
    <w:rsid w:val="009902AE"/>
    <w:rsid w:val="009910A8"/>
    <w:rsid w:val="009916A0"/>
    <w:rsid w:val="00992190"/>
    <w:rsid w:val="00992CA4"/>
    <w:rsid w:val="009949A1"/>
    <w:rsid w:val="0099531D"/>
    <w:rsid w:val="00996731"/>
    <w:rsid w:val="009A1FED"/>
    <w:rsid w:val="009A3690"/>
    <w:rsid w:val="009A3F06"/>
    <w:rsid w:val="009A723A"/>
    <w:rsid w:val="009A75E3"/>
    <w:rsid w:val="009B2DB8"/>
    <w:rsid w:val="009B5F8A"/>
    <w:rsid w:val="009B7090"/>
    <w:rsid w:val="009C27E4"/>
    <w:rsid w:val="009C3517"/>
    <w:rsid w:val="009C5307"/>
    <w:rsid w:val="009C726C"/>
    <w:rsid w:val="009C7587"/>
    <w:rsid w:val="009D19A6"/>
    <w:rsid w:val="009D2865"/>
    <w:rsid w:val="009D515A"/>
    <w:rsid w:val="009E1498"/>
    <w:rsid w:val="009E247E"/>
    <w:rsid w:val="009E6DB7"/>
    <w:rsid w:val="009F0F98"/>
    <w:rsid w:val="009F19EF"/>
    <w:rsid w:val="009F1C26"/>
    <w:rsid w:val="009F54C1"/>
    <w:rsid w:val="009F58DE"/>
    <w:rsid w:val="00A00214"/>
    <w:rsid w:val="00A0130E"/>
    <w:rsid w:val="00A0135F"/>
    <w:rsid w:val="00A017BC"/>
    <w:rsid w:val="00A030B7"/>
    <w:rsid w:val="00A04E66"/>
    <w:rsid w:val="00A0691E"/>
    <w:rsid w:val="00A07D46"/>
    <w:rsid w:val="00A11C8D"/>
    <w:rsid w:val="00A162E0"/>
    <w:rsid w:val="00A203A9"/>
    <w:rsid w:val="00A2202B"/>
    <w:rsid w:val="00A22096"/>
    <w:rsid w:val="00A22A8C"/>
    <w:rsid w:val="00A22ED7"/>
    <w:rsid w:val="00A247AE"/>
    <w:rsid w:val="00A249C9"/>
    <w:rsid w:val="00A26BAE"/>
    <w:rsid w:val="00A27A8B"/>
    <w:rsid w:val="00A3055D"/>
    <w:rsid w:val="00A35374"/>
    <w:rsid w:val="00A3681D"/>
    <w:rsid w:val="00A36D3A"/>
    <w:rsid w:val="00A3737F"/>
    <w:rsid w:val="00A40663"/>
    <w:rsid w:val="00A4481D"/>
    <w:rsid w:val="00A4544E"/>
    <w:rsid w:val="00A45DB3"/>
    <w:rsid w:val="00A47034"/>
    <w:rsid w:val="00A477BE"/>
    <w:rsid w:val="00A5409A"/>
    <w:rsid w:val="00A54663"/>
    <w:rsid w:val="00A551FA"/>
    <w:rsid w:val="00A553EA"/>
    <w:rsid w:val="00A6052B"/>
    <w:rsid w:val="00A6326C"/>
    <w:rsid w:val="00A63ABA"/>
    <w:rsid w:val="00A63CB0"/>
    <w:rsid w:val="00A666BA"/>
    <w:rsid w:val="00A7355B"/>
    <w:rsid w:val="00A77CA3"/>
    <w:rsid w:val="00A803A3"/>
    <w:rsid w:val="00A8061E"/>
    <w:rsid w:val="00A81219"/>
    <w:rsid w:val="00A82486"/>
    <w:rsid w:val="00A86EE9"/>
    <w:rsid w:val="00A87139"/>
    <w:rsid w:val="00A90779"/>
    <w:rsid w:val="00A90F5C"/>
    <w:rsid w:val="00A94042"/>
    <w:rsid w:val="00A9762C"/>
    <w:rsid w:val="00AA0273"/>
    <w:rsid w:val="00AA126F"/>
    <w:rsid w:val="00AA1658"/>
    <w:rsid w:val="00AA73E2"/>
    <w:rsid w:val="00AB087E"/>
    <w:rsid w:val="00AB158A"/>
    <w:rsid w:val="00AB163B"/>
    <w:rsid w:val="00AB1EB3"/>
    <w:rsid w:val="00AB41E3"/>
    <w:rsid w:val="00AB6FDB"/>
    <w:rsid w:val="00AB7614"/>
    <w:rsid w:val="00AC2C9B"/>
    <w:rsid w:val="00AC5829"/>
    <w:rsid w:val="00AC730E"/>
    <w:rsid w:val="00AD00CC"/>
    <w:rsid w:val="00AD150C"/>
    <w:rsid w:val="00AD1DB2"/>
    <w:rsid w:val="00AD326D"/>
    <w:rsid w:val="00AD4C6B"/>
    <w:rsid w:val="00AE0CAB"/>
    <w:rsid w:val="00AE267F"/>
    <w:rsid w:val="00AE3CB2"/>
    <w:rsid w:val="00AE66F3"/>
    <w:rsid w:val="00AF0323"/>
    <w:rsid w:val="00AF63CA"/>
    <w:rsid w:val="00AF7943"/>
    <w:rsid w:val="00B03FBC"/>
    <w:rsid w:val="00B06264"/>
    <w:rsid w:val="00B06DC6"/>
    <w:rsid w:val="00B07B17"/>
    <w:rsid w:val="00B14142"/>
    <w:rsid w:val="00B15153"/>
    <w:rsid w:val="00B1592C"/>
    <w:rsid w:val="00B178BC"/>
    <w:rsid w:val="00B22886"/>
    <w:rsid w:val="00B22F3C"/>
    <w:rsid w:val="00B24DA5"/>
    <w:rsid w:val="00B2597B"/>
    <w:rsid w:val="00B260B3"/>
    <w:rsid w:val="00B277AD"/>
    <w:rsid w:val="00B36BC1"/>
    <w:rsid w:val="00B370E5"/>
    <w:rsid w:val="00B3729C"/>
    <w:rsid w:val="00B4494A"/>
    <w:rsid w:val="00B462D0"/>
    <w:rsid w:val="00B46AF3"/>
    <w:rsid w:val="00B47940"/>
    <w:rsid w:val="00B506DE"/>
    <w:rsid w:val="00B5210B"/>
    <w:rsid w:val="00B52542"/>
    <w:rsid w:val="00B5385A"/>
    <w:rsid w:val="00B54072"/>
    <w:rsid w:val="00B55537"/>
    <w:rsid w:val="00B558EF"/>
    <w:rsid w:val="00B5680A"/>
    <w:rsid w:val="00B56A8C"/>
    <w:rsid w:val="00B60833"/>
    <w:rsid w:val="00B64946"/>
    <w:rsid w:val="00B65C34"/>
    <w:rsid w:val="00B6639E"/>
    <w:rsid w:val="00B67BCA"/>
    <w:rsid w:val="00B709C5"/>
    <w:rsid w:val="00B73705"/>
    <w:rsid w:val="00B7744D"/>
    <w:rsid w:val="00B82C25"/>
    <w:rsid w:val="00B83478"/>
    <w:rsid w:val="00B84173"/>
    <w:rsid w:val="00B84291"/>
    <w:rsid w:val="00B84483"/>
    <w:rsid w:val="00B8574B"/>
    <w:rsid w:val="00B85EAE"/>
    <w:rsid w:val="00B91538"/>
    <w:rsid w:val="00B93FCE"/>
    <w:rsid w:val="00B96EE1"/>
    <w:rsid w:val="00B971EC"/>
    <w:rsid w:val="00B97F79"/>
    <w:rsid w:val="00BB178F"/>
    <w:rsid w:val="00BB187C"/>
    <w:rsid w:val="00BB1DF1"/>
    <w:rsid w:val="00BB2921"/>
    <w:rsid w:val="00BC029A"/>
    <w:rsid w:val="00BC4317"/>
    <w:rsid w:val="00BC67BA"/>
    <w:rsid w:val="00BC683B"/>
    <w:rsid w:val="00BC791E"/>
    <w:rsid w:val="00BD37FA"/>
    <w:rsid w:val="00BD7F98"/>
    <w:rsid w:val="00BE1FB8"/>
    <w:rsid w:val="00BE2474"/>
    <w:rsid w:val="00BE3598"/>
    <w:rsid w:val="00BE49E1"/>
    <w:rsid w:val="00BE7389"/>
    <w:rsid w:val="00BF2169"/>
    <w:rsid w:val="00BF487A"/>
    <w:rsid w:val="00BF52F5"/>
    <w:rsid w:val="00C006E5"/>
    <w:rsid w:val="00C02A6B"/>
    <w:rsid w:val="00C02E8E"/>
    <w:rsid w:val="00C05957"/>
    <w:rsid w:val="00C100DD"/>
    <w:rsid w:val="00C11C8B"/>
    <w:rsid w:val="00C14E5B"/>
    <w:rsid w:val="00C20641"/>
    <w:rsid w:val="00C24EA5"/>
    <w:rsid w:val="00C33F45"/>
    <w:rsid w:val="00C34E45"/>
    <w:rsid w:val="00C353B5"/>
    <w:rsid w:val="00C3561B"/>
    <w:rsid w:val="00C4430A"/>
    <w:rsid w:val="00C45346"/>
    <w:rsid w:val="00C45536"/>
    <w:rsid w:val="00C45A82"/>
    <w:rsid w:val="00C464F6"/>
    <w:rsid w:val="00C54C51"/>
    <w:rsid w:val="00C60563"/>
    <w:rsid w:val="00C60944"/>
    <w:rsid w:val="00C6277E"/>
    <w:rsid w:val="00C677FA"/>
    <w:rsid w:val="00C67D5C"/>
    <w:rsid w:val="00C70036"/>
    <w:rsid w:val="00C70058"/>
    <w:rsid w:val="00C70933"/>
    <w:rsid w:val="00C7378C"/>
    <w:rsid w:val="00C76AE6"/>
    <w:rsid w:val="00C80C28"/>
    <w:rsid w:val="00C83ADB"/>
    <w:rsid w:val="00C8631F"/>
    <w:rsid w:val="00C90DA7"/>
    <w:rsid w:val="00C925F0"/>
    <w:rsid w:val="00C93546"/>
    <w:rsid w:val="00C93C11"/>
    <w:rsid w:val="00C95BA4"/>
    <w:rsid w:val="00CA1850"/>
    <w:rsid w:val="00CA28CA"/>
    <w:rsid w:val="00CA5804"/>
    <w:rsid w:val="00CA5EFD"/>
    <w:rsid w:val="00CA6996"/>
    <w:rsid w:val="00CA74F4"/>
    <w:rsid w:val="00CB1191"/>
    <w:rsid w:val="00CB1F6D"/>
    <w:rsid w:val="00CB51D1"/>
    <w:rsid w:val="00CB56CF"/>
    <w:rsid w:val="00CC144A"/>
    <w:rsid w:val="00CC4AA2"/>
    <w:rsid w:val="00CC4BE9"/>
    <w:rsid w:val="00CC5149"/>
    <w:rsid w:val="00CC6DF0"/>
    <w:rsid w:val="00CC7A07"/>
    <w:rsid w:val="00CD0E37"/>
    <w:rsid w:val="00CD278D"/>
    <w:rsid w:val="00CD2E05"/>
    <w:rsid w:val="00CD4220"/>
    <w:rsid w:val="00CD4C3B"/>
    <w:rsid w:val="00CD53F9"/>
    <w:rsid w:val="00CD6347"/>
    <w:rsid w:val="00CD6F58"/>
    <w:rsid w:val="00CE00F9"/>
    <w:rsid w:val="00CE01EA"/>
    <w:rsid w:val="00CE0DEB"/>
    <w:rsid w:val="00CE10CE"/>
    <w:rsid w:val="00CE2256"/>
    <w:rsid w:val="00CE2FF9"/>
    <w:rsid w:val="00CE4C97"/>
    <w:rsid w:val="00CE598C"/>
    <w:rsid w:val="00CE63D2"/>
    <w:rsid w:val="00CF3289"/>
    <w:rsid w:val="00CF32F8"/>
    <w:rsid w:val="00CF43FB"/>
    <w:rsid w:val="00CF4DC4"/>
    <w:rsid w:val="00CF6FFE"/>
    <w:rsid w:val="00D00192"/>
    <w:rsid w:val="00D02F51"/>
    <w:rsid w:val="00D0580B"/>
    <w:rsid w:val="00D06156"/>
    <w:rsid w:val="00D06890"/>
    <w:rsid w:val="00D07F26"/>
    <w:rsid w:val="00D11EAE"/>
    <w:rsid w:val="00D12034"/>
    <w:rsid w:val="00D12B45"/>
    <w:rsid w:val="00D135DB"/>
    <w:rsid w:val="00D14432"/>
    <w:rsid w:val="00D14CFB"/>
    <w:rsid w:val="00D154A5"/>
    <w:rsid w:val="00D165FA"/>
    <w:rsid w:val="00D23BD4"/>
    <w:rsid w:val="00D23F38"/>
    <w:rsid w:val="00D24755"/>
    <w:rsid w:val="00D27888"/>
    <w:rsid w:val="00D31BEC"/>
    <w:rsid w:val="00D357F7"/>
    <w:rsid w:val="00D36EA9"/>
    <w:rsid w:val="00D45C12"/>
    <w:rsid w:val="00D475F6"/>
    <w:rsid w:val="00D50F99"/>
    <w:rsid w:val="00D51692"/>
    <w:rsid w:val="00D52961"/>
    <w:rsid w:val="00D622C7"/>
    <w:rsid w:val="00D62B87"/>
    <w:rsid w:val="00D63694"/>
    <w:rsid w:val="00D65AC7"/>
    <w:rsid w:val="00D664FC"/>
    <w:rsid w:val="00D673A4"/>
    <w:rsid w:val="00D7176E"/>
    <w:rsid w:val="00D7252E"/>
    <w:rsid w:val="00D72EA0"/>
    <w:rsid w:val="00D73EE8"/>
    <w:rsid w:val="00D74202"/>
    <w:rsid w:val="00D75FA4"/>
    <w:rsid w:val="00D85444"/>
    <w:rsid w:val="00D86DED"/>
    <w:rsid w:val="00D87347"/>
    <w:rsid w:val="00D8760A"/>
    <w:rsid w:val="00D90040"/>
    <w:rsid w:val="00D914F4"/>
    <w:rsid w:val="00D9278E"/>
    <w:rsid w:val="00D953F8"/>
    <w:rsid w:val="00D97421"/>
    <w:rsid w:val="00DA40A8"/>
    <w:rsid w:val="00DA4B90"/>
    <w:rsid w:val="00DA4C8F"/>
    <w:rsid w:val="00DA4DA6"/>
    <w:rsid w:val="00DA55D7"/>
    <w:rsid w:val="00DA59A4"/>
    <w:rsid w:val="00DA76F2"/>
    <w:rsid w:val="00DB5865"/>
    <w:rsid w:val="00DB588B"/>
    <w:rsid w:val="00DB7A95"/>
    <w:rsid w:val="00DC177E"/>
    <w:rsid w:val="00DC2887"/>
    <w:rsid w:val="00DC2E3A"/>
    <w:rsid w:val="00DC4390"/>
    <w:rsid w:val="00DC629A"/>
    <w:rsid w:val="00DC6449"/>
    <w:rsid w:val="00DD05FA"/>
    <w:rsid w:val="00DD27F5"/>
    <w:rsid w:val="00DD44D2"/>
    <w:rsid w:val="00DD6224"/>
    <w:rsid w:val="00DD7209"/>
    <w:rsid w:val="00DD7867"/>
    <w:rsid w:val="00DE14AE"/>
    <w:rsid w:val="00DE1905"/>
    <w:rsid w:val="00DE27A0"/>
    <w:rsid w:val="00DE4D11"/>
    <w:rsid w:val="00DF674B"/>
    <w:rsid w:val="00E00EB3"/>
    <w:rsid w:val="00E019AA"/>
    <w:rsid w:val="00E02923"/>
    <w:rsid w:val="00E037EA"/>
    <w:rsid w:val="00E03F86"/>
    <w:rsid w:val="00E043FE"/>
    <w:rsid w:val="00E049CB"/>
    <w:rsid w:val="00E053A8"/>
    <w:rsid w:val="00E05D76"/>
    <w:rsid w:val="00E07C76"/>
    <w:rsid w:val="00E10932"/>
    <w:rsid w:val="00E128E8"/>
    <w:rsid w:val="00E1386F"/>
    <w:rsid w:val="00E14FD7"/>
    <w:rsid w:val="00E15608"/>
    <w:rsid w:val="00E15AEA"/>
    <w:rsid w:val="00E167B4"/>
    <w:rsid w:val="00E16D19"/>
    <w:rsid w:val="00E217A2"/>
    <w:rsid w:val="00E21B2C"/>
    <w:rsid w:val="00E22824"/>
    <w:rsid w:val="00E234C9"/>
    <w:rsid w:val="00E23B29"/>
    <w:rsid w:val="00E255A2"/>
    <w:rsid w:val="00E256BF"/>
    <w:rsid w:val="00E2674C"/>
    <w:rsid w:val="00E30D65"/>
    <w:rsid w:val="00E31D07"/>
    <w:rsid w:val="00E3208D"/>
    <w:rsid w:val="00E33312"/>
    <w:rsid w:val="00E333E7"/>
    <w:rsid w:val="00E348DB"/>
    <w:rsid w:val="00E36FD7"/>
    <w:rsid w:val="00E36FDF"/>
    <w:rsid w:val="00E40648"/>
    <w:rsid w:val="00E448DC"/>
    <w:rsid w:val="00E45FCD"/>
    <w:rsid w:val="00E46BF3"/>
    <w:rsid w:val="00E50C25"/>
    <w:rsid w:val="00E5127F"/>
    <w:rsid w:val="00E5182B"/>
    <w:rsid w:val="00E52A5D"/>
    <w:rsid w:val="00E52C56"/>
    <w:rsid w:val="00E535CE"/>
    <w:rsid w:val="00E549F3"/>
    <w:rsid w:val="00E5539F"/>
    <w:rsid w:val="00E617C5"/>
    <w:rsid w:val="00E63B85"/>
    <w:rsid w:val="00E6410D"/>
    <w:rsid w:val="00E6597C"/>
    <w:rsid w:val="00E71607"/>
    <w:rsid w:val="00E74C72"/>
    <w:rsid w:val="00E7577D"/>
    <w:rsid w:val="00E75EC9"/>
    <w:rsid w:val="00E82110"/>
    <w:rsid w:val="00E832B6"/>
    <w:rsid w:val="00E83628"/>
    <w:rsid w:val="00E87B78"/>
    <w:rsid w:val="00E91F19"/>
    <w:rsid w:val="00E92398"/>
    <w:rsid w:val="00E93BC8"/>
    <w:rsid w:val="00E94A9E"/>
    <w:rsid w:val="00E95F34"/>
    <w:rsid w:val="00E961E5"/>
    <w:rsid w:val="00EA0DA1"/>
    <w:rsid w:val="00EA1B63"/>
    <w:rsid w:val="00EA2D49"/>
    <w:rsid w:val="00EA3489"/>
    <w:rsid w:val="00EA4FB7"/>
    <w:rsid w:val="00EA4FCC"/>
    <w:rsid w:val="00EA5560"/>
    <w:rsid w:val="00EA69F5"/>
    <w:rsid w:val="00EB7981"/>
    <w:rsid w:val="00EC2EB8"/>
    <w:rsid w:val="00EC4F1C"/>
    <w:rsid w:val="00EC7DD4"/>
    <w:rsid w:val="00EC7DF8"/>
    <w:rsid w:val="00ED0A71"/>
    <w:rsid w:val="00ED1F22"/>
    <w:rsid w:val="00ED542C"/>
    <w:rsid w:val="00ED699D"/>
    <w:rsid w:val="00ED6C09"/>
    <w:rsid w:val="00EE05FC"/>
    <w:rsid w:val="00EE091A"/>
    <w:rsid w:val="00EE5442"/>
    <w:rsid w:val="00EE5625"/>
    <w:rsid w:val="00EE633A"/>
    <w:rsid w:val="00EE65B9"/>
    <w:rsid w:val="00EE796C"/>
    <w:rsid w:val="00EF3B5C"/>
    <w:rsid w:val="00EF3EEB"/>
    <w:rsid w:val="00F00844"/>
    <w:rsid w:val="00F02B74"/>
    <w:rsid w:val="00F052E9"/>
    <w:rsid w:val="00F05620"/>
    <w:rsid w:val="00F06195"/>
    <w:rsid w:val="00F06391"/>
    <w:rsid w:val="00F12283"/>
    <w:rsid w:val="00F16811"/>
    <w:rsid w:val="00F204CD"/>
    <w:rsid w:val="00F212FE"/>
    <w:rsid w:val="00F220BF"/>
    <w:rsid w:val="00F253DF"/>
    <w:rsid w:val="00F26744"/>
    <w:rsid w:val="00F27625"/>
    <w:rsid w:val="00F3116C"/>
    <w:rsid w:val="00F3184B"/>
    <w:rsid w:val="00F31E57"/>
    <w:rsid w:val="00F34C15"/>
    <w:rsid w:val="00F3528C"/>
    <w:rsid w:val="00F35E36"/>
    <w:rsid w:val="00F36E84"/>
    <w:rsid w:val="00F372AB"/>
    <w:rsid w:val="00F374BC"/>
    <w:rsid w:val="00F402D9"/>
    <w:rsid w:val="00F44ADD"/>
    <w:rsid w:val="00F45CEE"/>
    <w:rsid w:val="00F46102"/>
    <w:rsid w:val="00F50C8B"/>
    <w:rsid w:val="00F5330C"/>
    <w:rsid w:val="00F53390"/>
    <w:rsid w:val="00F536D8"/>
    <w:rsid w:val="00F54899"/>
    <w:rsid w:val="00F5504D"/>
    <w:rsid w:val="00F5539A"/>
    <w:rsid w:val="00F6215E"/>
    <w:rsid w:val="00F62AE0"/>
    <w:rsid w:val="00F63ED7"/>
    <w:rsid w:val="00F64A44"/>
    <w:rsid w:val="00F65B9B"/>
    <w:rsid w:val="00F679CF"/>
    <w:rsid w:val="00F67CB6"/>
    <w:rsid w:val="00F71DD9"/>
    <w:rsid w:val="00F737E8"/>
    <w:rsid w:val="00F77680"/>
    <w:rsid w:val="00F80761"/>
    <w:rsid w:val="00F80DED"/>
    <w:rsid w:val="00F81B65"/>
    <w:rsid w:val="00F829C2"/>
    <w:rsid w:val="00F8333A"/>
    <w:rsid w:val="00F83CCF"/>
    <w:rsid w:val="00F83DD3"/>
    <w:rsid w:val="00F83F08"/>
    <w:rsid w:val="00F849E7"/>
    <w:rsid w:val="00F84D64"/>
    <w:rsid w:val="00F853E3"/>
    <w:rsid w:val="00F86617"/>
    <w:rsid w:val="00F86BE6"/>
    <w:rsid w:val="00F90FF4"/>
    <w:rsid w:val="00F929DF"/>
    <w:rsid w:val="00F93E71"/>
    <w:rsid w:val="00F94DC8"/>
    <w:rsid w:val="00FA2812"/>
    <w:rsid w:val="00FA3C80"/>
    <w:rsid w:val="00FA3CF1"/>
    <w:rsid w:val="00FA6B16"/>
    <w:rsid w:val="00FB077F"/>
    <w:rsid w:val="00FB2AB6"/>
    <w:rsid w:val="00FB3A2A"/>
    <w:rsid w:val="00FB40DD"/>
    <w:rsid w:val="00FB4E10"/>
    <w:rsid w:val="00FC09CD"/>
    <w:rsid w:val="00FC22A4"/>
    <w:rsid w:val="00FC2FFF"/>
    <w:rsid w:val="00FD49FA"/>
    <w:rsid w:val="00FD7530"/>
    <w:rsid w:val="00FE154C"/>
    <w:rsid w:val="00FE2C74"/>
    <w:rsid w:val="00FE2EF6"/>
    <w:rsid w:val="00FE3234"/>
    <w:rsid w:val="00FE639A"/>
    <w:rsid w:val="00FF0DDB"/>
    <w:rsid w:val="00FF1572"/>
    <w:rsid w:val="00FF3C16"/>
    <w:rsid w:val="00FF673B"/>
    <w:rsid w:val="00FF740C"/>
    <w:rsid w:val="0131FC60"/>
    <w:rsid w:val="01CF392F"/>
    <w:rsid w:val="01F7B98C"/>
    <w:rsid w:val="032F6D22"/>
    <w:rsid w:val="03F7B369"/>
    <w:rsid w:val="0467408A"/>
    <w:rsid w:val="054A2BC8"/>
    <w:rsid w:val="06C46492"/>
    <w:rsid w:val="0810B96B"/>
    <w:rsid w:val="0925DC78"/>
    <w:rsid w:val="09873834"/>
    <w:rsid w:val="0B24E2E5"/>
    <w:rsid w:val="0C613263"/>
    <w:rsid w:val="0CF9AC1E"/>
    <w:rsid w:val="0D45631B"/>
    <w:rsid w:val="0DD98B3F"/>
    <w:rsid w:val="0E276909"/>
    <w:rsid w:val="0E6C2C2D"/>
    <w:rsid w:val="111AB101"/>
    <w:rsid w:val="15A9D29B"/>
    <w:rsid w:val="16AD1309"/>
    <w:rsid w:val="18A8423E"/>
    <w:rsid w:val="1A85ACF0"/>
    <w:rsid w:val="1A97AA62"/>
    <w:rsid w:val="1AA8FBB5"/>
    <w:rsid w:val="1B691647"/>
    <w:rsid w:val="1B742655"/>
    <w:rsid w:val="1B87B372"/>
    <w:rsid w:val="1C9A2C07"/>
    <w:rsid w:val="1EAEB071"/>
    <w:rsid w:val="1F41940F"/>
    <w:rsid w:val="20911281"/>
    <w:rsid w:val="22A1AD4C"/>
    <w:rsid w:val="22B73ABD"/>
    <w:rsid w:val="23052203"/>
    <w:rsid w:val="230E18E6"/>
    <w:rsid w:val="23B55B52"/>
    <w:rsid w:val="245D6067"/>
    <w:rsid w:val="24969650"/>
    <w:rsid w:val="24E79503"/>
    <w:rsid w:val="2543A0EE"/>
    <w:rsid w:val="25AB03FF"/>
    <w:rsid w:val="2726E953"/>
    <w:rsid w:val="29737FAA"/>
    <w:rsid w:val="2A18D879"/>
    <w:rsid w:val="2C0648B5"/>
    <w:rsid w:val="2C09E6FE"/>
    <w:rsid w:val="2C759468"/>
    <w:rsid w:val="2C999C82"/>
    <w:rsid w:val="2DAED052"/>
    <w:rsid w:val="2E884F13"/>
    <w:rsid w:val="2F25A980"/>
    <w:rsid w:val="309EA5D6"/>
    <w:rsid w:val="31B2A60F"/>
    <w:rsid w:val="31F64349"/>
    <w:rsid w:val="353D5238"/>
    <w:rsid w:val="388A6900"/>
    <w:rsid w:val="3935DD58"/>
    <w:rsid w:val="3A824229"/>
    <w:rsid w:val="3B2C15FF"/>
    <w:rsid w:val="3BBD0DF6"/>
    <w:rsid w:val="3BD61E9C"/>
    <w:rsid w:val="3E58D6A0"/>
    <w:rsid w:val="3E9D98FC"/>
    <w:rsid w:val="3F720018"/>
    <w:rsid w:val="403A4A20"/>
    <w:rsid w:val="41637CFB"/>
    <w:rsid w:val="417FBFF5"/>
    <w:rsid w:val="47305C02"/>
    <w:rsid w:val="479C5115"/>
    <w:rsid w:val="4827FFF2"/>
    <w:rsid w:val="48ECDB68"/>
    <w:rsid w:val="49D8A6D9"/>
    <w:rsid w:val="4B723EC2"/>
    <w:rsid w:val="4CE87FAD"/>
    <w:rsid w:val="4EADE324"/>
    <w:rsid w:val="5001D972"/>
    <w:rsid w:val="50E52851"/>
    <w:rsid w:val="514AF2B3"/>
    <w:rsid w:val="5203AE90"/>
    <w:rsid w:val="5258E933"/>
    <w:rsid w:val="526DBE27"/>
    <w:rsid w:val="52DB72CC"/>
    <w:rsid w:val="5C300341"/>
    <w:rsid w:val="5D053815"/>
    <w:rsid w:val="5E378A6F"/>
    <w:rsid w:val="60D82BA2"/>
    <w:rsid w:val="61E16889"/>
    <w:rsid w:val="61FA8599"/>
    <w:rsid w:val="62ABE91F"/>
    <w:rsid w:val="630F1C5C"/>
    <w:rsid w:val="6474D8BD"/>
    <w:rsid w:val="655411F9"/>
    <w:rsid w:val="661D48A5"/>
    <w:rsid w:val="66F0AC13"/>
    <w:rsid w:val="67879F25"/>
    <w:rsid w:val="69E34D9D"/>
    <w:rsid w:val="6B2AB9DB"/>
    <w:rsid w:val="6B8FB6EF"/>
    <w:rsid w:val="6C8BE7D3"/>
    <w:rsid w:val="6DAD95C4"/>
    <w:rsid w:val="6E256365"/>
    <w:rsid w:val="6F676ED9"/>
    <w:rsid w:val="71EFE066"/>
    <w:rsid w:val="7342EDB0"/>
    <w:rsid w:val="74EE496C"/>
    <w:rsid w:val="7657240E"/>
    <w:rsid w:val="766A79D9"/>
    <w:rsid w:val="79F6351F"/>
    <w:rsid w:val="7AC43C70"/>
    <w:rsid w:val="7CB72E9D"/>
    <w:rsid w:val="7DB9C4DB"/>
    <w:rsid w:val="7F214C53"/>
    <w:rsid w:val="7F418C17"/>
    <w:rsid w:val="7F418CD0"/>
    <w:rsid w:val="7F48E9C2"/>
    <w:rsid w:val="7FC2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4CFF5"/>
  <w15:docId w15:val="{B44F1F46-B562-48D1-BB12-3063D4DC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74B"/>
    <w:rPr>
      <w:lang w:val="en-GB" w:eastAsia="en-US"/>
    </w:rPr>
  </w:style>
  <w:style w:type="paragraph" w:styleId="Nadpis1">
    <w:name w:val="heading 1"/>
    <w:basedOn w:val="Normln"/>
    <w:next w:val="Normln"/>
    <w:qFormat/>
    <w:rsid w:val="00395E8D"/>
    <w:pPr>
      <w:keepNext/>
      <w:spacing w:before="360" w:after="120"/>
      <w:outlineLvl w:val="0"/>
    </w:pPr>
    <w:rPr>
      <w:rFonts w:ascii="Arial" w:hAnsi="Arial"/>
      <w:b/>
      <w:kern w:val="2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674B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DF674B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DF674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335BCD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335BCD"/>
  </w:style>
  <w:style w:type="paragraph" w:styleId="Pedmtkomente">
    <w:name w:val="annotation subject"/>
    <w:basedOn w:val="Textkomente"/>
    <w:next w:val="Textkomente"/>
    <w:semiHidden/>
    <w:rsid w:val="00335BCD"/>
    <w:rPr>
      <w:b/>
      <w:bCs/>
    </w:rPr>
  </w:style>
  <w:style w:type="paragraph" w:styleId="Textbubliny">
    <w:name w:val="Balloon Text"/>
    <w:basedOn w:val="Normln"/>
    <w:semiHidden/>
    <w:rsid w:val="00335BCD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locked/>
    <w:rsid w:val="005A5666"/>
    <w:rPr>
      <w:b/>
      <w:bCs/>
      <w:i w:val="0"/>
      <w:iCs w:val="0"/>
    </w:rPr>
  </w:style>
  <w:style w:type="character" w:styleId="Zstupntext">
    <w:name w:val="Placeholder Text"/>
    <w:basedOn w:val="Standardnpsmoodstavce"/>
    <w:uiPriority w:val="99"/>
    <w:semiHidden/>
    <w:rsid w:val="005F7B06"/>
    <w:rPr>
      <w:color w:val="808080"/>
    </w:rPr>
  </w:style>
  <w:style w:type="paragraph" w:styleId="Podtitul">
    <w:name w:val="Subtitle"/>
    <w:basedOn w:val="Normln"/>
    <w:next w:val="Normln"/>
    <w:link w:val="PodtitulChar"/>
    <w:qFormat/>
    <w:locked/>
    <w:rsid w:val="008E32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8E32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Hypertextovodkaz">
    <w:name w:val="Hyperlink"/>
    <w:basedOn w:val="Standardnpsmoodstavce"/>
    <w:unhideWhenUsed/>
    <w:rsid w:val="00470946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47094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C2214"/>
    <w:pPr>
      <w:ind w:left="720"/>
      <w:contextualSpacing/>
    </w:pPr>
  </w:style>
  <w:style w:type="table" w:styleId="Prosttabulka5">
    <w:name w:val="Plain Table 5"/>
    <w:basedOn w:val="Normlntabulka"/>
    <w:uiPriority w:val="45"/>
    <w:rsid w:val="001C22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Standardnpsmoodstavce"/>
    <w:rsid w:val="00BB2921"/>
  </w:style>
  <w:style w:type="character" w:customStyle="1" w:styleId="eop">
    <w:name w:val="eop"/>
    <w:basedOn w:val="Standardnpsmoodstavce"/>
    <w:rsid w:val="00BB2921"/>
  </w:style>
  <w:style w:type="paragraph" w:customStyle="1" w:styleId="paragraph">
    <w:name w:val="paragraph"/>
    <w:basedOn w:val="Normln"/>
    <w:rsid w:val="00BB292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512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652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731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479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257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399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231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083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043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406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z/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://www.colliers.com/cs-cz/czechrepublic" TargetMode="External"/><Relationship Id="rId1" Type="http://schemas.openxmlformats.org/officeDocument/2006/relationships/hyperlink" Target="https://www.pragueresearchforum.cz/cs/o-prf/" TargetMode="External"/><Relationship Id="rId6" Type="http://schemas.openxmlformats.org/officeDocument/2006/relationships/hyperlink" Target="https://www.cbre.cz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://www.jll.cz/" TargetMode="External"/><Relationship Id="rId4" Type="http://schemas.openxmlformats.org/officeDocument/2006/relationships/hyperlink" Target="http://www.knightfrank.cz" TargetMode="External"/><Relationship Id="rId9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z/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hyperlink" Target="http://www.knightfrank.cz" TargetMode="External"/><Relationship Id="rId1" Type="http://schemas.openxmlformats.org/officeDocument/2006/relationships/hyperlink" Target="https://www.pragueresearchforum.cz/cs/o-prf/" TargetMode="External"/><Relationship Id="rId6" Type="http://schemas.openxmlformats.org/officeDocument/2006/relationships/hyperlink" Target="http://www.colliers.com/cs-cz/czechrepublic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4.png"/><Relationship Id="rId10" Type="http://schemas.openxmlformats.org/officeDocument/2006/relationships/hyperlink" Target="http://www.jll.cz/" TargetMode="External"/><Relationship Id="rId4" Type="http://schemas.openxmlformats.org/officeDocument/2006/relationships/hyperlink" Target="https://www.cbre.cz/" TargetMode="Externa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B057E66C97744818E6DBA50D409CE" ma:contentTypeVersion="9" ma:contentTypeDescription="Create a new document." ma:contentTypeScope="" ma:versionID="5689d47fa22ce549d7d690263f4a1a82">
  <xsd:schema xmlns:xsd="http://www.w3.org/2001/XMLSchema" xmlns:xs="http://www.w3.org/2001/XMLSchema" xmlns:p="http://schemas.microsoft.com/office/2006/metadata/properties" xmlns:ns2="a89b7f00-e561-4f1e-a15e-56aa4f2f4d39" targetNamespace="http://schemas.microsoft.com/office/2006/metadata/properties" ma:root="true" ma:fieldsID="b077316fa8df7e257fb14f34b7c11302" ns2:_="">
    <xsd:import namespace="a89b7f00-e561-4f1e-a15e-56aa4f2f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b7f00-e561-4f1e-a15e-56aa4f2f4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5D3F-C30C-4B9D-A241-A6B662F25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41755-95E9-48E2-832F-9BA0E182E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b7f00-e561-4f1e-a15e-56aa4f2f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5A401-122C-426D-8602-C582DE72C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D0C3F-4046-4A79-B188-1C004257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Cushman &amp; Wakefield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Rafajlovič</dc:creator>
  <cp:keywords/>
  <cp:lastModifiedBy>Tereza Štosová</cp:lastModifiedBy>
  <cp:revision>2</cp:revision>
  <cp:lastPrinted>2017-10-27T02:46:00Z</cp:lastPrinted>
  <dcterms:created xsi:type="dcterms:W3CDTF">2021-07-22T09:43:00Z</dcterms:created>
  <dcterms:modified xsi:type="dcterms:W3CDTF">2021-07-22T09:43:00Z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0x01010068DB057E66C97744818E6DBA50D409CE</vt:lpwstr>
  </property>
</Properties>
</file>