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353B" w14:textId="0E0FDA8E" w:rsidR="00992D0D" w:rsidRDefault="008507B8" w:rsidP="007E236C">
      <w:pPr>
        <w:pStyle w:val="Headline"/>
        <w:rPr>
          <w:lang w:val="cs-CZ"/>
        </w:rPr>
      </w:pPr>
      <w:bookmarkStart w:id="0" w:name="_GoBack"/>
      <w:bookmarkEnd w:id="0"/>
      <w:r>
        <w:rPr>
          <w:lang w:val="cs-CZ"/>
        </w:rPr>
        <w:t>Lukáš Radouš</w:t>
      </w:r>
      <w:r w:rsidR="00FA0C13" w:rsidRPr="00833F0F">
        <w:rPr>
          <w:lang w:val="cs-CZ"/>
        </w:rPr>
        <w:t xml:space="preserve"> </w:t>
      </w:r>
      <w:r w:rsidR="00830B9C">
        <w:rPr>
          <w:lang w:val="cs-CZ"/>
        </w:rPr>
        <w:t xml:space="preserve">v CBRE zastřeší </w:t>
      </w:r>
      <w:r w:rsidR="00EB64A0">
        <w:rPr>
          <w:lang w:val="cs-CZ"/>
        </w:rPr>
        <w:t>rozvoj obchodních příležitostí v oblasti</w:t>
      </w:r>
      <w:r w:rsidR="00830B9C">
        <w:rPr>
          <w:lang w:val="cs-CZ"/>
        </w:rPr>
        <w:t xml:space="preserve"> projektového managementu pro</w:t>
      </w:r>
      <w:r w:rsidR="00C0798E">
        <w:rPr>
          <w:lang w:val="cs-CZ"/>
        </w:rPr>
        <w:t> </w:t>
      </w:r>
      <w:r w:rsidR="00830B9C">
        <w:rPr>
          <w:lang w:val="cs-CZ"/>
        </w:rPr>
        <w:t>region střední a východní Evropy</w:t>
      </w:r>
      <w:r w:rsidR="00992D0D" w:rsidRPr="00992D0D">
        <w:rPr>
          <w:lang w:val="cs-CZ"/>
        </w:rPr>
        <w:t xml:space="preserve"> </w:t>
      </w:r>
    </w:p>
    <w:p w14:paraId="31A301F1" w14:textId="77777777" w:rsidR="00FA0C13" w:rsidRPr="00833F0F" w:rsidRDefault="00FA0C13" w:rsidP="00295CBB">
      <w:pPr>
        <w:pStyle w:val="Headline"/>
        <w:jc w:val="both"/>
        <w:rPr>
          <w:lang w:val="cs-CZ"/>
        </w:rPr>
      </w:pPr>
    </w:p>
    <w:p w14:paraId="4569679E" w14:textId="463BF22E" w:rsidR="000E041E" w:rsidRDefault="00BA3ACA" w:rsidP="000E041E">
      <w:pPr>
        <w:pStyle w:val="BodyCopy"/>
        <w:jc w:val="both"/>
        <w:rPr>
          <w:lang w:val="cs-CZ"/>
        </w:rPr>
      </w:pPr>
      <w:r w:rsidRPr="00833F0F">
        <w:rPr>
          <w:b/>
          <w:bCs/>
          <w:lang w:val="cs-CZ"/>
        </w:rPr>
        <w:t>Praha</w:t>
      </w:r>
      <w:r w:rsidR="00E30CD4" w:rsidRPr="00833F0F">
        <w:rPr>
          <w:b/>
          <w:bCs/>
          <w:lang w:val="cs-CZ"/>
        </w:rPr>
        <w:t xml:space="preserve"> </w:t>
      </w:r>
      <w:r w:rsidR="00C63036" w:rsidRPr="00833F0F">
        <w:rPr>
          <w:b/>
          <w:bCs/>
          <w:lang w:val="cs-CZ"/>
        </w:rPr>
        <w:t>–</w:t>
      </w:r>
      <w:r w:rsidR="00E30CD4" w:rsidRPr="00833F0F">
        <w:rPr>
          <w:b/>
          <w:bCs/>
          <w:lang w:val="cs-CZ"/>
        </w:rPr>
        <w:t xml:space="preserve"> </w:t>
      </w:r>
      <w:bookmarkStart w:id="1" w:name="Text8"/>
      <w:r w:rsidR="00AB752D">
        <w:rPr>
          <w:b/>
          <w:bCs/>
          <w:lang w:val="cs-CZ"/>
        </w:rPr>
        <w:t>22</w:t>
      </w:r>
      <w:r w:rsidRPr="00833F0F">
        <w:rPr>
          <w:b/>
          <w:bCs/>
          <w:lang w:val="cs-CZ"/>
        </w:rPr>
        <w:t xml:space="preserve">. </w:t>
      </w:r>
      <w:bookmarkEnd w:id="1"/>
      <w:r w:rsidR="0091129E" w:rsidRPr="00833F0F">
        <w:rPr>
          <w:b/>
          <w:bCs/>
          <w:lang w:val="cs-CZ"/>
        </w:rPr>
        <w:t>listopadu</w:t>
      </w:r>
      <w:r w:rsidR="00E30CD4" w:rsidRPr="00833F0F">
        <w:rPr>
          <w:b/>
          <w:bCs/>
          <w:lang w:val="cs-CZ"/>
        </w:rPr>
        <w:t xml:space="preserve"> </w:t>
      </w:r>
      <w:r w:rsidR="00E53CA1" w:rsidRPr="00833F0F">
        <w:rPr>
          <w:b/>
          <w:bCs/>
          <w:lang w:val="cs-CZ"/>
        </w:rPr>
        <w:t>202</w:t>
      </w:r>
      <w:r w:rsidR="00ED1394" w:rsidRPr="00833F0F">
        <w:rPr>
          <w:b/>
          <w:bCs/>
          <w:lang w:val="cs-CZ"/>
        </w:rPr>
        <w:t>1</w:t>
      </w:r>
      <w:r w:rsidR="00E30CD4" w:rsidRPr="00833F0F">
        <w:rPr>
          <w:b/>
          <w:bCs/>
          <w:lang w:val="cs-CZ"/>
        </w:rPr>
        <w:t xml:space="preserve"> </w:t>
      </w:r>
      <w:r w:rsidR="00C63036" w:rsidRPr="00833F0F">
        <w:rPr>
          <w:lang w:val="cs-CZ"/>
        </w:rPr>
        <w:t>–</w:t>
      </w:r>
      <w:r w:rsidR="00E30CD4" w:rsidRPr="00833F0F">
        <w:rPr>
          <w:lang w:val="cs-CZ"/>
        </w:rPr>
        <w:t xml:space="preserve"> </w:t>
      </w:r>
      <w:r w:rsidR="0091129E" w:rsidRPr="00833F0F">
        <w:rPr>
          <w:lang w:val="cs-CZ"/>
        </w:rPr>
        <w:t>Lukáš Radouš (</w:t>
      </w:r>
      <w:r w:rsidR="00347F27">
        <w:rPr>
          <w:lang w:val="cs-CZ"/>
        </w:rPr>
        <w:t>41</w:t>
      </w:r>
      <w:r w:rsidR="0091129E" w:rsidRPr="00833F0F">
        <w:rPr>
          <w:lang w:val="cs-CZ"/>
        </w:rPr>
        <w:t>)</w:t>
      </w:r>
      <w:r w:rsidR="00A31D8B">
        <w:rPr>
          <w:lang w:val="cs-CZ"/>
        </w:rPr>
        <w:t>,</w:t>
      </w:r>
      <w:r w:rsidR="0091129E" w:rsidRPr="00833F0F">
        <w:rPr>
          <w:lang w:val="cs-CZ"/>
        </w:rPr>
        <w:t xml:space="preserve"> dosavadní </w:t>
      </w:r>
      <w:r w:rsidR="00A31D8B">
        <w:rPr>
          <w:lang w:val="cs-CZ"/>
        </w:rPr>
        <w:t>vedoucí</w:t>
      </w:r>
      <w:r w:rsidR="0091129E" w:rsidRPr="00833F0F">
        <w:rPr>
          <w:lang w:val="cs-CZ"/>
        </w:rPr>
        <w:t xml:space="preserve"> oddělení </w:t>
      </w:r>
      <w:r w:rsidR="00EB64A0">
        <w:rPr>
          <w:lang w:val="cs-CZ"/>
        </w:rPr>
        <w:t xml:space="preserve">Project Management </w:t>
      </w:r>
      <w:r w:rsidR="00EB64A0">
        <w:rPr>
          <w:lang w:val="en-GB"/>
        </w:rPr>
        <w:t xml:space="preserve">&amp; Building Consultancy </w:t>
      </w:r>
      <w:r w:rsidR="00A31D8B">
        <w:rPr>
          <w:lang w:val="cs-CZ"/>
        </w:rPr>
        <w:t>v české pobočce</w:t>
      </w:r>
      <w:r w:rsidR="00833F0F">
        <w:rPr>
          <w:lang w:val="cs-CZ"/>
        </w:rPr>
        <w:t xml:space="preserve"> </w:t>
      </w:r>
      <w:r w:rsidR="0091129E" w:rsidRPr="00833F0F">
        <w:rPr>
          <w:lang w:val="cs-CZ"/>
        </w:rPr>
        <w:t xml:space="preserve">společnosti CBRE, světového lídra v oblasti komerčních realitních služeb, </w:t>
      </w:r>
      <w:r w:rsidR="00EB64A0">
        <w:rPr>
          <w:lang w:val="cs-CZ"/>
        </w:rPr>
        <w:t xml:space="preserve">bude nově </w:t>
      </w:r>
      <w:r w:rsidR="0020739D">
        <w:rPr>
          <w:lang w:val="cs-CZ"/>
        </w:rPr>
        <w:t>zodpovědný za rozvoj a koordinac</w:t>
      </w:r>
      <w:r w:rsidR="00EA2841">
        <w:rPr>
          <w:lang w:val="cs-CZ"/>
        </w:rPr>
        <w:t>i</w:t>
      </w:r>
      <w:r w:rsidR="0020739D">
        <w:rPr>
          <w:lang w:val="cs-CZ"/>
        </w:rPr>
        <w:t xml:space="preserve"> obchodních příležitostí v rámci</w:t>
      </w:r>
      <w:r w:rsidR="00992D0D">
        <w:rPr>
          <w:lang w:val="cs-CZ"/>
        </w:rPr>
        <w:t xml:space="preserve"> projektového m</w:t>
      </w:r>
      <w:r w:rsidR="008B65F1">
        <w:rPr>
          <w:lang w:val="cs-CZ"/>
        </w:rPr>
        <w:t xml:space="preserve">anagementu pro </w:t>
      </w:r>
      <w:r w:rsidR="00C0798E">
        <w:rPr>
          <w:lang w:val="cs-CZ"/>
        </w:rPr>
        <w:t xml:space="preserve">celý </w:t>
      </w:r>
      <w:r w:rsidR="008B65F1">
        <w:rPr>
          <w:lang w:val="cs-CZ"/>
        </w:rPr>
        <w:t>region CEE</w:t>
      </w:r>
      <w:r w:rsidR="008B65F1" w:rsidRPr="000E041E">
        <w:rPr>
          <w:lang w:val="cs-CZ"/>
        </w:rPr>
        <w:t xml:space="preserve">. </w:t>
      </w:r>
      <w:r w:rsidR="000E041E" w:rsidRPr="00295CBB">
        <w:rPr>
          <w:lang w:val="cs-CZ"/>
        </w:rPr>
        <w:t>Projektové řízení je považováno za klíčové odvětví, na které se chce společnost CBRE zaměřit.</w:t>
      </w:r>
      <w:r w:rsidR="000E041E" w:rsidRPr="000E041E">
        <w:rPr>
          <w:lang w:val="cs-CZ"/>
        </w:rPr>
        <w:t xml:space="preserve"> </w:t>
      </w:r>
      <w:r w:rsidR="000E041E">
        <w:rPr>
          <w:lang w:val="cs-CZ"/>
        </w:rPr>
        <w:t>Poptávka po znalostech jej</w:t>
      </w:r>
      <w:r w:rsidR="0070379F">
        <w:rPr>
          <w:lang w:val="cs-CZ"/>
        </w:rPr>
        <w:t>í</w:t>
      </w:r>
      <w:r w:rsidR="000E041E">
        <w:rPr>
          <w:lang w:val="cs-CZ"/>
        </w:rPr>
        <w:t>ch specialistů v tomto segmentu dlouhodobě roste, neboť jak nájemci, tak pronajímatelé i investoři řeší, jak optimalizovat a vylepšovat své nemovitosti za</w:t>
      </w:r>
      <w:r w:rsidR="004D0F40">
        <w:rPr>
          <w:lang w:val="cs-CZ"/>
        </w:rPr>
        <w:t> </w:t>
      </w:r>
      <w:r w:rsidR="000E041E">
        <w:rPr>
          <w:lang w:val="cs-CZ"/>
        </w:rPr>
        <w:t xml:space="preserve">účelem zvyšování jejich hodnoty. </w:t>
      </w:r>
      <w:r w:rsidR="00EA2841">
        <w:rPr>
          <w:lang w:val="cs-CZ"/>
        </w:rPr>
        <w:t>Díky dlouhodob</w:t>
      </w:r>
      <w:r w:rsidR="00F27BC5">
        <w:rPr>
          <w:lang w:val="cs-CZ"/>
        </w:rPr>
        <w:t xml:space="preserve">ým zkušenostem </w:t>
      </w:r>
      <w:r w:rsidR="00EA2841">
        <w:rPr>
          <w:lang w:val="cs-CZ"/>
        </w:rPr>
        <w:t>v sektoru komerčních nemovitostí</w:t>
      </w:r>
      <w:r w:rsidR="00F27BC5">
        <w:rPr>
          <w:lang w:val="cs-CZ"/>
        </w:rPr>
        <w:t xml:space="preserve">, spolupráci s celou řadou prestižních mezinárodních klientů a také </w:t>
      </w:r>
      <w:r w:rsidR="00EA2841">
        <w:rPr>
          <w:lang w:val="cs-CZ"/>
        </w:rPr>
        <w:t>úspěšnému vedení českého týmu 40 profesionál</w:t>
      </w:r>
      <w:r w:rsidR="00B22CB7">
        <w:rPr>
          <w:lang w:val="cs-CZ"/>
        </w:rPr>
        <w:t xml:space="preserve">ů </w:t>
      </w:r>
      <w:r w:rsidR="00F27BC5">
        <w:rPr>
          <w:lang w:val="cs-CZ"/>
        </w:rPr>
        <w:t xml:space="preserve">byl Lukáš </w:t>
      </w:r>
      <w:r w:rsidR="005F36E2">
        <w:rPr>
          <w:lang w:val="cs-CZ"/>
        </w:rPr>
        <w:t xml:space="preserve">Radouš </w:t>
      </w:r>
      <w:r w:rsidR="00F27BC5">
        <w:rPr>
          <w:lang w:val="cs-CZ"/>
        </w:rPr>
        <w:t>jednoznačnou volbou</w:t>
      </w:r>
      <w:r w:rsidR="000E041E">
        <w:rPr>
          <w:lang w:val="cs-CZ"/>
        </w:rPr>
        <w:t>. V n</w:t>
      </w:r>
      <w:r w:rsidR="006578BA">
        <w:rPr>
          <w:lang w:val="cs-CZ"/>
        </w:rPr>
        <w:t xml:space="preserve">ové </w:t>
      </w:r>
      <w:r w:rsidR="00295CBB">
        <w:rPr>
          <w:lang w:val="cs-CZ"/>
        </w:rPr>
        <w:t>roli</w:t>
      </w:r>
      <w:r w:rsidR="006578BA">
        <w:rPr>
          <w:lang w:val="cs-CZ"/>
        </w:rPr>
        <w:t xml:space="preserve"> se zaměří </w:t>
      </w:r>
      <w:r w:rsidR="000E041E">
        <w:rPr>
          <w:lang w:val="cs-CZ"/>
        </w:rPr>
        <w:t xml:space="preserve">na propojování týmů </w:t>
      </w:r>
      <w:r w:rsidR="005F36E2">
        <w:rPr>
          <w:lang w:val="cs-CZ"/>
        </w:rPr>
        <w:t>v</w:t>
      </w:r>
      <w:r w:rsidR="004D0F40">
        <w:rPr>
          <w:lang w:val="cs-CZ"/>
        </w:rPr>
        <w:t> </w:t>
      </w:r>
      <w:r w:rsidR="000E041E">
        <w:rPr>
          <w:lang w:val="cs-CZ"/>
        </w:rPr>
        <w:t>regionu CEE</w:t>
      </w:r>
      <w:r w:rsidR="00CE2F00">
        <w:rPr>
          <w:lang w:val="cs-CZ"/>
        </w:rPr>
        <w:t xml:space="preserve"> v rámci nabídek a služeb přesahující</w:t>
      </w:r>
      <w:r w:rsidR="005F36E2">
        <w:rPr>
          <w:lang w:val="cs-CZ"/>
        </w:rPr>
        <w:t xml:space="preserve"> lokální </w:t>
      </w:r>
      <w:r w:rsidR="00CE2F00">
        <w:rPr>
          <w:lang w:val="cs-CZ"/>
        </w:rPr>
        <w:t>trh</w:t>
      </w:r>
      <w:r w:rsidR="005F36E2">
        <w:rPr>
          <w:lang w:val="cs-CZ"/>
        </w:rPr>
        <w:t>y</w:t>
      </w:r>
      <w:r w:rsidR="00CE2F00">
        <w:rPr>
          <w:lang w:val="cs-CZ"/>
        </w:rPr>
        <w:t xml:space="preserve">, vyhledávání nových příležitostí a </w:t>
      </w:r>
      <w:r w:rsidR="005F36E2">
        <w:rPr>
          <w:lang w:val="cs-CZ"/>
        </w:rPr>
        <w:t xml:space="preserve">také </w:t>
      </w:r>
      <w:r w:rsidR="006578BA">
        <w:rPr>
          <w:lang w:val="cs-CZ"/>
        </w:rPr>
        <w:t xml:space="preserve">posilování vztahů se současnými </w:t>
      </w:r>
      <w:r w:rsidR="005F36E2">
        <w:rPr>
          <w:lang w:val="cs-CZ"/>
        </w:rPr>
        <w:t>a</w:t>
      </w:r>
      <w:r w:rsidR="006578BA">
        <w:rPr>
          <w:lang w:val="cs-CZ"/>
        </w:rPr>
        <w:t xml:space="preserve"> potenciálními klienty, a to </w:t>
      </w:r>
      <w:r w:rsidR="00F82FE1">
        <w:rPr>
          <w:lang w:val="cs-CZ"/>
        </w:rPr>
        <w:t>na mezinárodní i lokální úrovni.</w:t>
      </w:r>
      <w:r w:rsidR="000E041E">
        <w:rPr>
          <w:lang w:val="cs-CZ"/>
        </w:rPr>
        <w:t xml:space="preserve"> </w:t>
      </w:r>
    </w:p>
    <w:p w14:paraId="1593E9E7" w14:textId="77777777" w:rsidR="00992D0D" w:rsidRDefault="00992D0D" w:rsidP="00295CBB">
      <w:pPr>
        <w:pStyle w:val="BodyCopy"/>
        <w:jc w:val="both"/>
        <w:rPr>
          <w:lang w:val="cs-CZ"/>
        </w:rPr>
      </w:pPr>
    </w:p>
    <w:p w14:paraId="2369FED2" w14:textId="2F12E787" w:rsidR="00347F27" w:rsidRPr="00347F27" w:rsidRDefault="00F82FE1" w:rsidP="00295CBB">
      <w:pPr>
        <w:pStyle w:val="BodyCopy"/>
        <w:jc w:val="both"/>
        <w:rPr>
          <w:lang w:val="cs-CZ"/>
        </w:rPr>
      </w:pPr>
      <w:r>
        <w:rPr>
          <w:lang w:val="cs-CZ"/>
        </w:rPr>
        <w:t>Lukáš Radouš je absolventem</w:t>
      </w:r>
      <w:r w:rsidR="00347F27">
        <w:rPr>
          <w:lang w:val="cs-CZ"/>
        </w:rPr>
        <w:t xml:space="preserve"> Stavební fakulty oboru ekonomika řízení staveb </w:t>
      </w:r>
      <w:r>
        <w:rPr>
          <w:lang w:val="cs-CZ"/>
        </w:rPr>
        <w:t>na VUT v Brně a studijního</w:t>
      </w:r>
      <w:r w:rsidRPr="00F82FE1">
        <w:rPr>
          <w:lang w:val="cs-CZ"/>
        </w:rPr>
        <w:t xml:space="preserve"> obor</w:t>
      </w:r>
      <w:r>
        <w:rPr>
          <w:lang w:val="cs-CZ"/>
        </w:rPr>
        <w:t>u</w:t>
      </w:r>
      <w:r w:rsidRPr="00F82FE1">
        <w:rPr>
          <w:lang w:val="cs-CZ"/>
        </w:rPr>
        <w:t xml:space="preserve"> Ekonomika a management ve stavebnictví</w:t>
      </w:r>
      <w:r>
        <w:rPr>
          <w:lang w:val="cs-CZ"/>
        </w:rPr>
        <w:t xml:space="preserve"> na </w:t>
      </w:r>
      <w:r w:rsidRPr="00F82FE1">
        <w:rPr>
          <w:lang w:val="cs-CZ"/>
        </w:rPr>
        <w:t>Dublin Institute of Technology</w:t>
      </w:r>
      <w:r w:rsidR="006578BA">
        <w:rPr>
          <w:lang w:val="cs-CZ"/>
        </w:rPr>
        <w:t xml:space="preserve"> v Irsku</w:t>
      </w:r>
      <w:r>
        <w:rPr>
          <w:lang w:val="cs-CZ"/>
        </w:rPr>
        <w:t>.</w:t>
      </w:r>
      <w:r w:rsidR="00A12185">
        <w:rPr>
          <w:lang w:val="cs-CZ"/>
        </w:rPr>
        <w:t xml:space="preserve"> </w:t>
      </w:r>
      <w:r w:rsidR="00C30180">
        <w:rPr>
          <w:lang w:val="cs-CZ"/>
        </w:rPr>
        <w:t>Lukáš zahájil s</w:t>
      </w:r>
      <w:r w:rsidR="006F6968">
        <w:rPr>
          <w:lang w:val="cs-CZ"/>
        </w:rPr>
        <w:t>vou kariéru v</w:t>
      </w:r>
      <w:r w:rsidR="005B2D06">
        <w:rPr>
          <w:lang w:val="cs-CZ"/>
        </w:rPr>
        <w:t xml:space="preserve"> irské </w:t>
      </w:r>
      <w:r w:rsidR="006F6968">
        <w:rPr>
          <w:lang w:val="cs-CZ"/>
        </w:rPr>
        <w:t xml:space="preserve">společnosti </w:t>
      </w:r>
      <w:r w:rsidR="006F6968" w:rsidRPr="006F6968">
        <w:rPr>
          <w:lang w:val="cs-CZ"/>
        </w:rPr>
        <w:t>National Building Agency</w:t>
      </w:r>
      <w:r w:rsidR="006F6968">
        <w:rPr>
          <w:lang w:val="cs-CZ"/>
        </w:rPr>
        <w:t>, kde měl na starosti kompletní finanční řízení projektů</w:t>
      </w:r>
      <w:r w:rsidR="005B2D06">
        <w:rPr>
          <w:lang w:val="cs-CZ"/>
        </w:rPr>
        <w:t xml:space="preserve"> </w:t>
      </w:r>
      <w:r w:rsidR="005B2D06" w:rsidRPr="005B2D06">
        <w:rPr>
          <w:lang w:val="cs-CZ"/>
        </w:rPr>
        <w:t>obytných a veřejných budov</w:t>
      </w:r>
      <w:r w:rsidR="006F6968">
        <w:rPr>
          <w:lang w:val="cs-CZ"/>
        </w:rPr>
        <w:t>.</w:t>
      </w:r>
      <w:r w:rsidR="005B2D06">
        <w:rPr>
          <w:lang w:val="cs-CZ"/>
        </w:rPr>
        <w:t xml:space="preserve"> </w:t>
      </w:r>
      <w:r w:rsidR="006F6968">
        <w:rPr>
          <w:lang w:val="cs-CZ"/>
        </w:rPr>
        <w:t>Do CBRE nastoupil v roce 2013</w:t>
      </w:r>
      <w:r w:rsidR="005B2D06">
        <w:rPr>
          <w:lang w:val="cs-CZ"/>
        </w:rPr>
        <w:t>, přičemž</w:t>
      </w:r>
      <w:r w:rsidR="00C30180">
        <w:rPr>
          <w:lang w:val="cs-CZ"/>
        </w:rPr>
        <w:t xml:space="preserve"> v čele</w:t>
      </w:r>
      <w:r w:rsidR="005B2D06">
        <w:rPr>
          <w:lang w:val="cs-CZ"/>
        </w:rPr>
        <w:t xml:space="preserve"> </w:t>
      </w:r>
      <w:r w:rsidR="006F6968" w:rsidRPr="00833F0F">
        <w:rPr>
          <w:lang w:val="cs-CZ"/>
        </w:rPr>
        <w:t xml:space="preserve">oddělení </w:t>
      </w:r>
      <w:r w:rsidR="00A82D5E">
        <w:rPr>
          <w:lang w:val="cs-CZ"/>
        </w:rPr>
        <w:t xml:space="preserve">Project Managemetnt </w:t>
      </w:r>
      <w:r w:rsidR="00A82D5E">
        <w:rPr>
          <w:lang w:val="en-GB"/>
        </w:rPr>
        <w:t xml:space="preserve">&amp; </w:t>
      </w:r>
      <w:r w:rsidR="006F6968" w:rsidRPr="00833F0F">
        <w:rPr>
          <w:lang w:val="cs-CZ"/>
        </w:rPr>
        <w:t xml:space="preserve">Building </w:t>
      </w:r>
      <w:r w:rsidR="006F6968" w:rsidRPr="00347F27">
        <w:rPr>
          <w:lang w:val="cs-CZ"/>
        </w:rPr>
        <w:t>Consultancy</w:t>
      </w:r>
      <w:r w:rsidR="00F22E4A" w:rsidRPr="00347F27">
        <w:rPr>
          <w:lang w:val="cs-CZ"/>
        </w:rPr>
        <w:t xml:space="preserve"> </w:t>
      </w:r>
      <w:r w:rsidR="006F6968" w:rsidRPr="00347F27">
        <w:rPr>
          <w:lang w:val="cs-CZ"/>
        </w:rPr>
        <w:t>ú</w:t>
      </w:r>
      <w:r w:rsidR="00A12185" w:rsidRPr="00347F27">
        <w:rPr>
          <w:lang w:val="cs-CZ"/>
        </w:rPr>
        <w:t xml:space="preserve">spěšně </w:t>
      </w:r>
      <w:r w:rsidR="00C30180" w:rsidRPr="00347F27">
        <w:rPr>
          <w:lang w:val="cs-CZ"/>
        </w:rPr>
        <w:t>působí</w:t>
      </w:r>
      <w:r w:rsidR="00A12185" w:rsidRPr="00347F27">
        <w:rPr>
          <w:lang w:val="cs-CZ"/>
        </w:rPr>
        <w:t xml:space="preserve"> již tři roky</w:t>
      </w:r>
      <w:r w:rsidR="005B2D06" w:rsidRPr="00347F27">
        <w:rPr>
          <w:lang w:val="cs-CZ"/>
        </w:rPr>
        <w:t>.</w:t>
      </w:r>
      <w:r w:rsidR="00347F27" w:rsidRPr="00347F27">
        <w:rPr>
          <w:lang w:val="cs-CZ"/>
        </w:rPr>
        <w:t xml:space="preserve"> Řídí tým lidí specializující se</w:t>
      </w:r>
      <w:r w:rsidR="004D0F40">
        <w:rPr>
          <w:lang w:val="cs-CZ"/>
        </w:rPr>
        <w:t> </w:t>
      </w:r>
      <w:r w:rsidR="00347F27" w:rsidRPr="00347F27">
        <w:rPr>
          <w:lang w:val="cs-CZ"/>
        </w:rPr>
        <w:t>na</w:t>
      </w:r>
      <w:r w:rsidR="004D0F40">
        <w:rPr>
          <w:lang w:val="cs-CZ"/>
        </w:rPr>
        <w:t> </w:t>
      </w:r>
      <w:r w:rsidR="00347F27" w:rsidRPr="00347F27">
        <w:rPr>
          <w:lang w:val="cs-CZ"/>
        </w:rPr>
        <w:t>kancelářské objekty (</w:t>
      </w:r>
      <w:r w:rsidR="004D0F40" w:rsidRPr="004D0F40">
        <w:rPr>
          <w:lang w:val="cs-CZ"/>
        </w:rPr>
        <w:t xml:space="preserve">příklad </w:t>
      </w:r>
      <w:r w:rsidR="004D0F40">
        <w:rPr>
          <w:lang w:val="cs-CZ"/>
        </w:rPr>
        <w:t>kompletní změny</w:t>
      </w:r>
      <w:r w:rsidR="004D0F40" w:rsidRPr="004D0F40">
        <w:rPr>
          <w:lang w:val="cs-CZ"/>
        </w:rPr>
        <w:t xml:space="preserve"> koncepce a renovace celé budovy </w:t>
      </w:r>
      <w:r w:rsidR="004D0F40" w:rsidRPr="004D0F40">
        <w:rPr>
          <w:lang w:val="cs-CZ"/>
        </w:rPr>
        <w:t>LIFE – Building C</w:t>
      </w:r>
      <w:r w:rsidR="004D0F40">
        <w:rPr>
          <w:lang w:val="cs-CZ"/>
        </w:rPr>
        <w:t>; dále spolupráce se společnostmi</w:t>
      </w:r>
      <w:r w:rsidR="004D0F40" w:rsidRPr="004D0F40">
        <w:rPr>
          <w:lang w:val="cs-CZ"/>
        </w:rPr>
        <w:t xml:space="preserve"> Accenture, Booking.com, Johnson &amp; Johnson</w:t>
      </w:r>
      <w:r w:rsidR="00347F27" w:rsidRPr="00347F27">
        <w:rPr>
          <w:lang w:val="cs-CZ"/>
        </w:rPr>
        <w:t>), skladové a výrobní haly (</w:t>
      </w:r>
      <w:r w:rsidR="00110281">
        <w:rPr>
          <w:lang w:val="cs-CZ"/>
        </w:rPr>
        <w:t xml:space="preserve">pro </w:t>
      </w:r>
      <w:r w:rsidR="00110281" w:rsidRPr="00347F27">
        <w:rPr>
          <w:lang w:val="cs-CZ"/>
        </w:rPr>
        <w:t>Adient</w:t>
      </w:r>
      <w:r w:rsidR="00110281">
        <w:rPr>
          <w:lang w:val="cs-CZ"/>
        </w:rPr>
        <w:t>,</w:t>
      </w:r>
      <w:r w:rsidR="00110281" w:rsidRPr="00347F27">
        <w:rPr>
          <w:lang w:val="cs-CZ"/>
        </w:rPr>
        <w:t xml:space="preserve"> </w:t>
      </w:r>
      <w:r w:rsidR="00110281">
        <w:rPr>
          <w:lang w:val="cs-CZ"/>
        </w:rPr>
        <w:t>Real D</w:t>
      </w:r>
      <w:r w:rsidR="00110281" w:rsidRPr="00347F27">
        <w:rPr>
          <w:lang w:val="cs-CZ"/>
        </w:rPr>
        <w:t>igital, ViaPharma</w:t>
      </w:r>
      <w:r w:rsidR="00110281">
        <w:rPr>
          <w:lang w:val="cs-CZ"/>
        </w:rPr>
        <w:t xml:space="preserve">, </w:t>
      </w:r>
      <w:r w:rsidR="00347F27" w:rsidRPr="00347F27">
        <w:rPr>
          <w:lang w:val="cs-CZ"/>
        </w:rPr>
        <w:t>W</w:t>
      </w:r>
      <w:r w:rsidR="004D0F40">
        <w:rPr>
          <w:lang w:val="cs-CZ"/>
        </w:rPr>
        <w:t>E</w:t>
      </w:r>
      <w:r w:rsidR="00347F27" w:rsidRPr="00347F27">
        <w:rPr>
          <w:lang w:val="cs-CZ"/>
        </w:rPr>
        <w:t>D</w:t>
      </w:r>
      <w:r w:rsidR="004D0F40">
        <w:rPr>
          <w:lang w:val="cs-CZ"/>
        </w:rPr>
        <w:t>O</w:t>
      </w:r>
      <w:r w:rsidR="00347F27" w:rsidRPr="00347F27">
        <w:rPr>
          <w:lang w:val="cs-CZ"/>
        </w:rPr>
        <w:t xml:space="preserve">), ale </w:t>
      </w:r>
      <w:r w:rsidR="0070379F">
        <w:rPr>
          <w:lang w:val="cs-CZ"/>
        </w:rPr>
        <w:t xml:space="preserve">i </w:t>
      </w:r>
      <w:r w:rsidR="00347F27" w:rsidRPr="00347F27">
        <w:rPr>
          <w:lang w:val="cs-CZ"/>
        </w:rPr>
        <w:t>obchodní centr</w:t>
      </w:r>
      <w:r w:rsidR="00C47550">
        <w:rPr>
          <w:lang w:val="cs-CZ"/>
        </w:rPr>
        <w:t>a</w:t>
      </w:r>
      <w:r w:rsidR="00347F27" w:rsidRPr="00347F27">
        <w:rPr>
          <w:lang w:val="cs-CZ"/>
        </w:rPr>
        <w:t xml:space="preserve"> v celé ČR (OC Čtyři Dvory, OC Rokycanská atd.).</w:t>
      </w:r>
    </w:p>
    <w:p w14:paraId="0E8728BA" w14:textId="77777777" w:rsidR="00FA0C13" w:rsidRPr="00833F0F" w:rsidRDefault="00FA0C13" w:rsidP="00295CBB">
      <w:pPr>
        <w:pStyle w:val="BodyCopy"/>
        <w:jc w:val="both"/>
        <w:rPr>
          <w:lang w:val="cs-CZ"/>
        </w:rPr>
      </w:pPr>
    </w:p>
    <w:p w14:paraId="4F17F438" w14:textId="536E2428" w:rsidR="00671479" w:rsidRPr="008507B8" w:rsidRDefault="00671479" w:rsidP="00295CBB">
      <w:pPr>
        <w:pStyle w:val="BodyCopy"/>
        <w:jc w:val="both"/>
        <w:rPr>
          <w:lang w:val="cs-CZ"/>
        </w:rPr>
      </w:pPr>
      <w:r w:rsidRPr="008507B8">
        <w:rPr>
          <w:lang w:val="cs-CZ"/>
        </w:rPr>
        <w:t xml:space="preserve">Lukáš </w:t>
      </w:r>
      <w:r w:rsidR="0056708B">
        <w:rPr>
          <w:lang w:val="cs-CZ"/>
        </w:rPr>
        <w:t xml:space="preserve">Radouš </w:t>
      </w:r>
      <w:r w:rsidRPr="008507B8">
        <w:rPr>
          <w:lang w:val="cs-CZ"/>
        </w:rPr>
        <w:t xml:space="preserve">hovoří plynně anglicky. </w:t>
      </w:r>
      <w:r w:rsidR="008507B8" w:rsidRPr="008507B8">
        <w:rPr>
          <w:lang w:val="cs-CZ"/>
        </w:rPr>
        <w:t>Ve volném čase se rád věnuje s</w:t>
      </w:r>
      <w:r w:rsidR="008507B8">
        <w:rPr>
          <w:lang w:val="cs-CZ"/>
        </w:rPr>
        <w:t>vé rodině a sport</w:t>
      </w:r>
      <w:r w:rsidR="0056708B">
        <w:rPr>
          <w:lang w:val="cs-CZ"/>
        </w:rPr>
        <w:t xml:space="preserve">ovním aktivitám všeho druhu – od fotbalu přes </w:t>
      </w:r>
      <w:r w:rsidR="008507B8">
        <w:rPr>
          <w:lang w:val="cs-CZ"/>
        </w:rPr>
        <w:t>tenis</w:t>
      </w:r>
      <w:r w:rsidR="0056708B">
        <w:rPr>
          <w:lang w:val="cs-CZ"/>
        </w:rPr>
        <w:t xml:space="preserve"> a </w:t>
      </w:r>
      <w:r w:rsidR="00347F27">
        <w:rPr>
          <w:lang w:val="cs-CZ"/>
        </w:rPr>
        <w:t>cyklistiku</w:t>
      </w:r>
      <w:r w:rsidR="0056708B">
        <w:rPr>
          <w:lang w:val="cs-CZ"/>
        </w:rPr>
        <w:t xml:space="preserve"> až po sjezdové lyžování</w:t>
      </w:r>
      <w:r w:rsidR="008507B8">
        <w:rPr>
          <w:lang w:val="cs-CZ"/>
        </w:rPr>
        <w:t>.</w:t>
      </w:r>
    </w:p>
    <w:p w14:paraId="593D2958" w14:textId="0B8E294C" w:rsidR="006738F2" w:rsidRPr="00833F0F" w:rsidRDefault="0056708B" w:rsidP="00FB548F">
      <w:pPr>
        <w:pStyle w:val="BodyCopy"/>
        <w:rPr>
          <w:lang w:val="cs-CZ"/>
        </w:rPr>
      </w:pPr>
      <w:r>
        <w:rPr>
          <w:lang w:val="cs-CZ"/>
        </w:rPr>
        <w:br/>
      </w:r>
    </w:p>
    <w:p w14:paraId="0B3A0B8C" w14:textId="582EFBCC" w:rsidR="003B0B9B" w:rsidRPr="00833F0F" w:rsidRDefault="00BA3ACA" w:rsidP="003B0B9B">
      <w:pPr>
        <w:pStyle w:val="Contact"/>
        <w:rPr>
          <w:lang w:val="cs-CZ"/>
        </w:rPr>
      </w:pPr>
      <w:r w:rsidRPr="00833F0F">
        <w:rPr>
          <w:lang w:val="cs-CZ"/>
        </w:rPr>
        <w:t>K</w:t>
      </w:r>
      <w:r w:rsidR="003B0B9B" w:rsidRPr="00833F0F">
        <w:rPr>
          <w:lang w:val="cs-CZ"/>
        </w:rPr>
        <w:t>onta</w:t>
      </w:r>
      <w:r w:rsidRPr="00833F0F">
        <w:rPr>
          <w:lang w:val="cs-CZ"/>
        </w:rPr>
        <w:t>k</w:t>
      </w:r>
      <w:r w:rsidR="003B0B9B" w:rsidRPr="00833F0F">
        <w:rPr>
          <w:lang w:val="cs-CZ"/>
        </w:rPr>
        <w:t>t</w:t>
      </w:r>
      <w:r w:rsidRPr="00833F0F">
        <w:rPr>
          <w:lang w:val="cs-CZ"/>
        </w:rPr>
        <w:t>y</w:t>
      </w:r>
      <w:r w:rsidR="003B0B9B" w:rsidRPr="00833F0F">
        <w:rPr>
          <w:lang w:val="cs-CZ"/>
        </w:rPr>
        <w:t>:</w:t>
      </w:r>
      <w:r w:rsidR="003B0B9B" w:rsidRPr="00833F0F">
        <w:rPr>
          <w:lang w:val="cs-CZ"/>
        </w:rPr>
        <w:br/>
        <w:t>Crest Communications, a.s.</w:t>
      </w:r>
    </w:p>
    <w:p w14:paraId="4CD9BAAC" w14:textId="77777777" w:rsidR="003B0B9B" w:rsidRPr="00833F0F" w:rsidRDefault="003B0B9B" w:rsidP="003B0B9B">
      <w:pPr>
        <w:pStyle w:val="Contact"/>
        <w:rPr>
          <w:b w:val="0"/>
          <w:bCs w:val="0"/>
          <w:lang w:val="cs-CZ"/>
        </w:rPr>
      </w:pPr>
      <w:r w:rsidRPr="00833F0F">
        <w:rPr>
          <w:b w:val="0"/>
          <w:bCs w:val="0"/>
          <w:lang w:val="cs-CZ"/>
        </w:rPr>
        <w:t>Denisa Kolaříková</w:t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  <w:t>Kamila Čadková</w:t>
      </w:r>
    </w:p>
    <w:p w14:paraId="57DB36E5" w14:textId="77777777" w:rsidR="003B0B9B" w:rsidRPr="00833F0F" w:rsidRDefault="003B0B9B" w:rsidP="003B0B9B">
      <w:pPr>
        <w:pStyle w:val="Contact"/>
        <w:rPr>
          <w:b w:val="0"/>
          <w:bCs w:val="0"/>
          <w:lang w:val="cs-CZ"/>
        </w:rPr>
      </w:pPr>
      <w:r w:rsidRPr="00833F0F">
        <w:rPr>
          <w:b w:val="0"/>
          <w:bCs w:val="0"/>
          <w:lang w:val="cs-CZ"/>
        </w:rPr>
        <w:t>Account Manager</w:t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  <w:t>Account Director</w:t>
      </w:r>
    </w:p>
    <w:p w14:paraId="0FD5C3F0" w14:textId="77777777" w:rsidR="003B0B9B" w:rsidRPr="00833F0F" w:rsidRDefault="003B0B9B" w:rsidP="003B0B9B">
      <w:pPr>
        <w:pStyle w:val="Contact"/>
        <w:rPr>
          <w:b w:val="0"/>
          <w:bCs w:val="0"/>
          <w:lang w:val="cs-CZ"/>
        </w:rPr>
      </w:pPr>
      <w:r w:rsidRPr="00833F0F">
        <w:rPr>
          <w:b w:val="0"/>
          <w:bCs w:val="0"/>
          <w:lang w:val="cs-CZ"/>
        </w:rPr>
        <w:t>T: +420 731 613 606</w:t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  <w:t>T: +420 731 613 609</w:t>
      </w:r>
    </w:p>
    <w:p w14:paraId="16CA9260" w14:textId="77777777" w:rsidR="003B0B9B" w:rsidRPr="00833F0F" w:rsidRDefault="003B0B9B" w:rsidP="003B0B9B">
      <w:pPr>
        <w:pStyle w:val="Contact"/>
        <w:rPr>
          <w:b w:val="0"/>
          <w:bCs w:val="0"/>
          <w:lang w:val="cs-CZ"/>
        </w:rPr>
      </w:pPr>
      <w:r w:rsidRPr="00833F0F">
        <w:rPr>
          <w:b w:val="0"/>
          <w:bCs w:val="0"/>
          <w:lang w:val="cs-CZ"/>
        </w:rPr>
        <w:t xml:space="preserve">e-mail: </w:t>
      </w:r>
      <w:hyperlink r:id="rId7" w:history="1">
        <w:r w:rsidRPr="00833F0F">
          <w:rPr>
            <w:rStyle w:val="Hypertextovodkaz"/>
            <w:b w:val="0"/>
            <w:bCs w:val="0"/>
            <w:lang w:val="cs-CZ"/>
          </w:rPr>
          <w:t>denisa.kolarikova@crestcom.cz</w:t>
        </w:r>
      </w:hyperlink>
      <w:r w:rsidRPr="00833F0F">
        <w:rPr>
          <w:b w:val="0"/>
          <w:bCs w:val="0"/>
          <w:lang w:val="cs-CZ"/>
        </w:rPr>
        <w:t xml:space="preserve"> </w:t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</w:r>
      <w:r w:rsidRPr="00833F0F">
        <w:rPr>
          <w:b w:val="0"/>
          <w:bCs w:val="0"/>
          <w:lang w:val="cs-CZ"/>
        </w:rPr>
        <w:tab/>
        <w:t xml:space="preserve">e- mail: </w:t>
      </w:r>
      <w:hyperlink r:id="rId8" w:history="1">
        <w:r w:rsidRPr="00833F0F">
          <w:rPr>
            <w:rStyle w:val="Hypertextovodkaz"/>
            <w:b w:val="0"/>
            <w:bCs w:val="0"/>
            <w:lang w:val="cs-CZ"/>
          </w:rPr>
          <w:t>kamila.cadkova@crestcom.cz</w:t>
        </w:r>
      </w:hyperlink>
      <w:r w:rsidRPr="00833F0F">
        <w:rPr>
          <w:b w:val="0"/>
          <w:bCs w:val="0"/>
          <w:lang w:val="cs-CZ"/>
        </w:rPr>
        <w:t xml:space="preserve"> </w:t>
      </w:r>
    </w:p>
    <w:p w14:paraId="745E2B96" w14:textId="77777777" w:rsidR="003B0B9B" w:rsidRPr="00833F0F" w:rsidRDefault="00FB2B48" w:rsidP="003B0B9B">
      <w:pPr>
        <w:pStyle w:val="Contact"/>
        <w:rPr>
          <w:b w:val="0"/>
          <w:bCs w:val="0"/>
          <w:lang w:val="cs-CZ"/>
        </w:rPr>
      </w:pPr>
      <w:hyperlink r:id="rId9" w:history="1">
        <w:r w:rsidR="003B0B9B" w:rsidRPr="00833F0F">
          <w:rPr>
            <w:rStyle w:val="Hypertextovodkaz"/>
            <w:b w:val="0"/>
            <w:bCs w:val="0"/>
            <w:lang w:val="cs-CZ"/>
          </w:rPr>
          <w:t>www.crestcom.cz</w:t>
        </w:r>
      </w:hyperlink>
    </w:p>
    <w:p w14:paraId="5BBB1AF8" w14:textId="77777777" w:rsidR="003B0B9B" w:rsidRPr="00833F0F" w:rsidRDefault="003B0B9B" w:rsidP="003B0B9B">
      <w:pPr>
        <w:pStyle w:val="Contact"/>
        <w:rPr>
          <w:lang w:val="cs-CZ"/>
        </w:rPr>
      </w:pPr>
    </w:p>
    <w:p w14:paraId="34067123" w14:textId="77777777" w:rsidR="003B0B9B" w:rsidRPr="00833F0F" w:rsidRDefault="003B0B9B" w:rsidP="003B0B9B">
      <w:pPr>
        <w:pStyle w:val="Contact"/>
        <w:rPr>
          <w:lang w:val="cs-CZ"/>
        </w:rPr>
      </w:pPr>
      <w:r w:rsidRPr="00833F0F">
        <w:rPr>
          <w:lang w:val="cs-CZ"/>
        </w:rPr>
        <w:t>CBRE</w:t>
      </w:r>
    </w:p>
    <w:p w14:paraId="762F2BC5" w14:textId="77777777" w:rsidR="003B0B9B" w:rsidRPr="00833F0F" w:rsidRDefault="003B0B9B" w:rsidP="003B0B9B">
      <w:pPr>
        <w:pStyle w:val="Contact"/>
        <w:rPr>
          <w:b w:val="0"/>
          <w:bCs w:val="0"/>
          <w:lang w:val="cs-CZ"/>
        </w:rPr>
      </w:pPr>
      <w:r w:rsidRPr="00833F0F">
        <w:rPr>
          <w:b w:val="0"/>
          <w:bCs w:val="0"/>
          <w:lang w:val="cs-CZ"/>
        </w:rPr>
        <w:t xml:space="preserve">Renata Mrázová, Senior Communication Specialist, +420 604 308 765, </w:t>
      </w:r>
      <w:hyperlink r:id="rId10" w:history="1">
        <w:r w:rsidRPr="00833F0F">
          <w:rPr>
            <w:rStyle w:val="Hypertextovodkaz"/>
            <w:b w:val="0"/>
            <w:bCs w:val="0"/>
            <w:lang w:val="cs-CZ"/>
          </w:rPr>
          <w:t>renata.mrazova@cbre.com</w:t>
        </w:r>
      </w:hyperlink>
      <w:r w:rsidRPr="00833F0F">
        <w:rPr>
          <w:b w:val="0"/>
          <w:bCs w:val="0"/>
          <w:lang w:val="cs-CZ"/>
        </w:rPr>
        <w:t xml:space="preserve"> </w:t>
      </w:r>
    </w:p>
    <w:p w14:paraId="0AAF1F87" w14:textId="04D11DDC" w:rsidR="003B0B9B" w:rsidRPr="00833F0F" w:rsidRDefault="003B0B9B" w:rsidP="003B0B9B">
      <w:pPr>
        <w:pStyle w:val="Contact"/>
        <w:rPr>
          <w:b w:val="0"/>
          <w:bCs w:val="0"/>
          <w:lang w:val="cs-CZ"/>
        </w:rPr>
      </w:pPr>
      <w:r w:rsidRPr="00833F0F">
        <w:rPr>
          <w:b w:val="0"/>
          <w:bCs w:val="0"/>
          <w:lang w:val="cs-CZ"/>
        </w:rPr>
        <w:t xml:space="preserve">CBRE </w:t>
      </w:r>
      <w:r w:rsidR="00BA3ACA" w:rsidRPr="00833F0F">
        <w:rPr>
          <w:b w:val="0"/>
          <w:bCs w:val="0"/>
          <w:lang w:val="cs-CZ"/>
        </w:rPr>
        <w:t>Česká republika</w:t>
      </w:r>
      <w:r w:rsidRPr="00833F0F">
        <w:rPr>
          <w:rStyle w:val="normaltextrun"/>
          <w:b w:val="0"/>
          <w:bCs w:val="0"/>
          <w:color w:val="1F497D"/>
          <w:lang w:val="cs-CZ"/>
        </w:rPr>
        <w:t> </w:t>
      </w:r>
      <w:hyperlink r:id="rId11" w:tgtFrame="_blank" w:history="1">
        <w:r w:rsidRPr="00833F0F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Facebook</w:t>
        </w:r>
      </w:hyperlink>
      <w:r w:rsidRPr="00833F0F">
        <w:rPr>
          <w:rStyle w:val="normaltextrun"/>
          <w:b w:val="0"/>
          <w:bCs w:val="0"/>
          <w:color w:val="7FBBAD" w:themeColor="background2"/>
          <w:u w:val="single"/>
          <w:lang w:val="cs-CZ"/>
        </w:rPr>
        <w:t>,</w:t>
      </w:r>
      <w:r w:rsidRPr="00833F0F">
        <w:rPr>
          <w:rStyle w:val="normaltextrun"/>
          <w:b w:val="0"/>
          <w:bCs w:val="0"/>
          <w:color w:val="7FBBAD" w:themeColor="background2"/>
          <w:lang w:val="cs-CZ"/>
        </w:rPr>
        <w:t> </w:t>
      </w:r>
      <w:hyperlink r:id="rId12" w:tgtFrame="_blank" w:history="1">
        <w:r w:rsidRPr="00833F0F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Linkedin</w:t>
        </w:r>
      </w:hyperlink>
      <w:r w:rsidRPr="00833F0F">
        <w:rPr>
          <w:rStyle w:val="normaltextrun"/>
          <w:b w:val="0"/>
          <w:bCs w:val="0"/>
          <w:color w:val="7FBBAD" w:themeColor="background2"/>
          <w:lang w:val="cs-CZ"/>
        </w:rPr>
        <w:t>, </w:t>
      </w:r>
      <w:hyperlink r:id="rId13" w:tgtFrame="_blank" w:history="1">
        <w:r w:rsidRPr="00833F0F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Instagram</w:t>
        </w:r>
      </w:hyperlink>
    </w:p>
    <w:p w14:paraId="65F0B138" w14:textId="77777777" w:rsidR="00DC0226" w:rsidRPr="00833F0F" w:rsidRDefault="00DC0226" w:rsidP="00E02087">
      <w:pPr>
        <w:pStyle w:val="BodyCopy"/>
        <w:rPr>
          <w:lang w:val="cs-CZ"/>
        </w:rPr>
      </w:pPr>
    </w:p>
    <w:p w14:paraId="1B5BDB19" w14:textId="77777777" w:rsidR="00BA3ACA" w:rsidRPr="00833F0F" w:rsidRDefault="00BA3ACA" w:rsidP="00BA3ACA">
      <w:pPr>
        <w:pStyle w:val="Boilerplate"/>
        <w:rPr>
          <w:u w:val="single"/>
          <w:lang w:val="cs-CZ"/>
        </w:rPr>
      </w:pPr>
      <w:r w:rsidRPr="00833F0F">
        <w:rPr>
          <w:u w:val="single"/>
          <w:lang w:val="cs-CZ"/>
        </w:rPr>
        <w:t>O CBRE:</w:t>
      </w:r>
    </w:p>
    <w:p w14:paraId="6A027E0E" w14:textId="0D04E6A8" w:rsidR="00A90A3A" w:rsidRPr="00833F0F" w:rsidRDefault="00BA3ACA" w:rsidP="0056708B">
      <w:pPr>
        <w:pStyle w:val="Boilerplate"/>
        <w:jc w:val="both"/>
        <w:rPr>
          <w:rFonts w:ascii="Futura Lt BT Light" w:hAnsi="Futura Lt BT Light"/>
          <w:lang w:val="cs-CZ"/>
        </w:rPr>
      </w:pPr>
      <w:r w:rsidRPr="00833F0F">
        <w:rPr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2020). S</w:t>
      </w:r>
      <w:r w:rsidRPr="00833F0F">
        <w:rPr>
          <w:rFonts w:ascii="Arial" w:hAnsi="Arial" w:cs="Arial"/>
          <w:lang w:val="cs-CZ"/>
        </w:rPr>
        <w:t> </w:t>
      </w:r>
      <w:r w:rsidRPr="00833F0F">
        <w:rPr>
          <w:lang w:val="cs-CZ"/>
        </w:rPr>
        <w:t>v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ce ne</w:t>
      </w:r>
      <w:r w:rsidRPr="00833F0F">
        <w:rPr>
          <w:rFonts w:cs="Calibre"/>
          <w:lang w:val="cs-CZ"/>
        </w:rPr>
        <w:t>ž</w:t>
      </w:r>
      <w:r w:rsidRPr="00833F0F">
        <w:rPr>
          <w:lang w:val="cs-CZ"/>
        </w:rPr>
        <w:t xml:space="preserve"> 100 000 zam</w:t>
      </w:r>
      <w:r w:rsidRPr="00833F0F">
        <w:rPr>
          <w:rFonts w:cs="Calibre"/>
          <w:lang w:val="cs-CZ"/>
        </w:rPr>
        <w:t>ě</w:t>
      </w:r>
      <w:r w:rsidRPr="00833F0F">
        <w:rPr>
          <w:lang w:val="cs-CZ"/>
        </w:rPr>
        <w:t>stnanci poskytuje slu</w:t>
      </w:r>
      <w:r w:rsidRPr="00833F0F">
        <w:rPr>
          <w:rFonts w:cs="Calibre"/>
          <w:lang w:val="cs-CZ"/>
        </w:rPr>
        <w:t>ž</w:t>
      </w:r>
      <w:r w:rsidRPr="00833F0F">
        <w:rPr>
          <w:lang w:val="cs-CZ"/>
        </w:rPr>
        <w:t>by majitel</w:t>
      </w:r>
      <w:r w:rsidRPr="00833F0F">
        <w:rPr>
          <w:rFonts w:cs="Calibre"/>
          <w:lang w:val="cs-CZ"/>
        </w:rPr>
        <w:t>ů</w:t>
      </w:r>
      <w:r w:rsidRPr="00833F0F">
        <w:rPr>
          <w:lang w:val="cs-CZ"/>
        </w:rPr>
        <w:t>m nemovitost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, investor</w:t>
      </w:r>
      <w:r w:rsidRPr="00833F0F">
        <w:rPr>
          <w:rFonts w:cs="Calibre"/>
          <w:lang w:val="cs-CZ"/>
        </w:rPr>
        <w:t>ů</w:t>
      </w:r>
      <w:r w:rsidRPr="00833F0F">
        <w:rPr>
          <w:lang w:val="cs-CZ"/>
        </w:rPr>
        <w:t>m a n</w:t>
      </w:r>
      <w:r w:rsidRPr="00833F0F">
        <w:rPr>
          <w:rFonts w:cs="Calibre"/>
          <w:lang w:val="cs-CZ"/>
        </w:rPr>
        <w:t>á</w:t>
      </w:r>
      <w:r w:rsidRPr="00833F0F">
        <w:rPr>
          <w:lang w:val="cs-CZ"/>
        </w:rPr>
        <w:t>jemn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k</w:t>
      </w:r>
      <w:r w:rsidRPr="00833F0F">
        <w:rPr>
          <w:rFonts w:cs="Calibre"/>
          <w:lang w:val="cs-CZ"/>
        </w:rPr>
        <w:t>ů</w:t>
      </w:r>
      <w:r w:rsidRPr="00833F0F">
        <w:rPr>
          <w:lang w:val="cs-CZ"/>
        </w:rPr>
        <w:t>m ve v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ce ne</w:t>
      </w:r>
      <w:r w:rsidRPr="00833F0F">
        <w:rPr>
          <w:rFonts w:cs="Calibre"/>
          <w:lang w:val="cs-CZ"/>
        </w:rPr>
        <w:t>ž</w:t>
      </w:r>
      <w:r w:rsidRPr="00833F0F">
        <w:rPr>
          <w:lang w:val="cs-CZ"/>
        </w:rPr>
        <w:t xml:space="preserve"> 100 zem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ch sv</w:t>
      </w:r>
      <w:r w:rsidRPr="00833F0F">
        <w:rPr>
          <w:rFonts w:cs="Calibre"/>
          <w:lang w:val="cs-CZ"/>
        </w:rPr>
        <w:t>ě</w:t>
      </w:r>
      <w:r w:rsidRPr="00833F0F">
        <w:rPr>
          <w:lang w:val="cs-CZ"/>
        </w:rPr>
        <w:t xml:space="preserve">ta. Společnost CBRE </w:t>
      </w:r>
      <w:r w:rsidRPr="00833F0F">
        <w:rPr>
          <w:lang w:val="cs-CZ"/>
        </w:rPr>
        <w:lastRenderedPageBreak/>
        <w:t>poskytuje širokou škálu integrovaných služeb od správy a</w:t>
      </w:r>
      <w:r w:rsidRPr="00833F0F">
        <w:rPr>
          <w:rFonts w:ascii="Arial" w:hAnsi="Arial" w:cs="Arial"/>
          <w:lang w:val="cs-CZ"/>
        </w:rPr>
        <w:t> </w:t>
      </w:r>
      <w:r w:rsidRPr="00833F0F">
        <w:rPr>
          <w:rFonts w:cs="Calibre"/>
          <w:lang w:val="cs-CZ"/>
        </w:rPr>
        <w:t>ú</w:t>
      </w:r>
      <w:r w:rsidRPr="00833F0F">
        <w:rPr>
          <w:lang w:val="cs-CZ"/>
        </w:rPr>
        <w:t>dr</w:t>
      </w:r>
      <w:r w:rsidRPr="00833F0F">
        <w:rPr>
          <w:rFonts w:cs="Calibre"/>
          <w:lang w:val="cs-CZ"/>
        </w:rPr>
        <w:t>ž</w:t>
      </w:r>
      <w:r w:rsidRPr="00833F0F">
        <w:rPr>
          <w:lang w:val="cs-CZ"/>
        </w:rPr>
        <w:t>by nemovitost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, obchodn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ch transakc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, projektov</w:t>
      </w:r>
      <w:r w:rsidRPr="00833F0F">
        <w:rPr>
          <w:rFonts w:cs="Calibre"/>
          <w:lang w:val="cs-CZ"/>
        </w:rPr>
        <w:t>é</w:t>
      </w:r>
      <w:r w:rsidRPr="00833F0F">
        <w:rPr>
          <w:lang w:val="cs-CZ"/>
        </w:rPr>
        <w:t>ho managementu, investi</w:t>
      </w:r>
      <w:r w:rsidRPr="00833F0F">
        <w:rPr>
          <w:rFonts w:cs="Calibre"/>
          <w:lang w:val="cs-CZ"/>
        </w:rPr>
        <w:t>č</w:t>
      </w:r>
      <w:r w:rsidRPr="00833F0F">
        <w:rPr>
          <w:lang w:val="cs-CZ"/>
        </w:rPr>
        <w:t>n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ho managementu p</w:t>
      </w:r>
      <w:r w:rsidRPr="00833F0F">
        <w:rPr>
          <w:rFonts w:cs="Calibre"/>
          <w:lang w:val="cs-CZ"/>
        </w:rPr>
        <w:t>ř</w:t>
      </w:r>
      <w:r w:rsidRPr="00833F0F">
        <w:rPr>
          <w:lang w:val="cs-CZ"/>
        </w:rPr>
        <w:t>es oce</w:t>
      </w:r>
      <w:r w:rsidRPr="00833F0F">
        <w:rPr>
          <w:rFonts w:cs="Calibre"/>
          <w:lang w:val="cs-CZ"/>
        </w:rPr>
        <w:t>ň</w:t>
      </w:r>
      <w:r w:rsidRPr="00833F0F">
        <w:rPr>
          <w:lang w:val="cs-CZ"/>
        </w:rPr>
        <w:t>ov</w:t>
      </w:r>
      <w:r w:rsidRPr="00833F0F">
        <w:rPr>
          <w:rFonts w:cs="Calibre"/>
          <w:lang w:val="cs-CZ"/>
        </w:rPr>
        <w:t>á</w:t>
      </w:r>
      <w:r w:rsidRPr="00833F0F">
        <w:rPr>
          <w:lang w:val="cs-CZ"/>
        </w:rPr>
        <w:t>n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 xml:space="preserve"> nemovitost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, pron</w:t>
      </w:r>
      <w:r w:rsidRPr="00833F0F">
        <w:rPr>
          <w:rFonts w:cs="Calibre"/>
          <w:lang w:val="cs-CZ"/>
        </w:rPr>
        <w:t>á</w:t>
      </w:r>
      <w:r w:rsidRPr="00833F0F">
        <w:rPr>
          <w:lang w:val="cs-CZ"/>
        </w:rPr>
        <w:t>jmu a prodeje nemovitost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, strategick</w:t>
      </w:r>
      <w:r w:rsidRPr="00833F0F">
        <w:rPr>
          <w:rFonts w:cs="Calibre"/>
          <w:lang w:val="cs-CZ"/>
        </w:rPr>
        <w:t>é</w:t>
      </w:r>
      <w:r w:rsidRPr="00833F0F">
        <w:rPr>
          <w:lang w:val="cs-CZ"/>
        </w:rPr>
        <w:t>ho poradenstv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 xml:space="preserve"> a</w:t>
      </w:r>
      <w:r w:rsidRPr="00833F0F">
        <w:rPr>
          <w:rFonts w:cs="Calibre"/>
          <w:lang w:val="cs-CZ"/>
        </w:rPr>
        <w:t>ž</w:t>
      </w:r>
      <w:r w:rsidRPr="00833F0F"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 w:rsidRPr="00833F0F">
        <w:rPr>
          <w:vertAlign w:val="superscript"/>
          <w:lang w:val="cs-CZ"/>
        </w:rPr>
        <w:t>2</w:t>
      </w:r>
      <w:r w:rsidRPr="00833F0F">
        <w:rPr>
          <w:lang w:val="cs-CZ"/>
        </w:rPr>
        <w:t>. Pro</w:t>
      </w:r>
      <w:r w:rsidRPr="00833F0F">
        <w:rPr>
          <w:rFonts w:ascii="Arial" w:hAnsi="Arial" w:cs="Arial"/>
          <w:lang w:val="cs-CZ"/>
        </w:rPr>
        <w:t> </w:t>
      </w:r>
      <w:r w:rsidRPr="00833F0F">
        <w:rPr>
          <w:lang w:val="cs-CZ"/>
        </w:rPr>
        <w:t>v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>ce informac</w:t>
      </w:r>
      <w:r w:rsidRPr="00833F0F">
        <w:rPr>
          <w:rFonts w:cs="Calibre"/>
          <w:lang w:val="cs-CZ"/>
        </w:rPr>
        <w:t>í</w:t>
      </w:r>
      <w:r w:rsidRPr="00833F0F">
        <w:rPr>
          <w:lang w:val="cs-CZ"/>
        </w:rPr>
        <w:t xml:space="preserve"> nav</w:t>
      </w:r>
      <w:r w:rsidRPr="00833F0F">
        <w:rPr>
          <w:rFonts w:cs="Calibre"/>
          <w:lang w:val="cs-CZ"/>
        </w:rPr>
        <w:t>š</w:t>
      </w:r>
      <w:r w:rsidRPr="00833F0F">
        <w:rPr>
          <w:lang w:val="cs-CZ"/>
        </w:rPr>
        <w:t>tivte internetov</w:t>
      </w:r>
      <w:r w:rsidRPr="00833F0F">
        <w:rPr>
          <w:rFonts w:cs="Calibre"/>
          <w:lang w:val="cs-CZ"/>
        </w:rPr>
        <w:t>é</w:t>
      </w:r>
      <w:r w:rsidRPr="00833F0F">
        <w:rPr>
          <w:lang w:val="cs-CZ"/>
        </w:rPr>
        <w:t xml:space="preserve"> str</w:t>
      </w:r>
      <w:r w:rsidRPr="00833F0F">
        <w:rPr>
          <w:rFonts w:cs="Calibre"/>
          <w:lang w:val="cs-CZ"/>
        </w:rPr>
        <w:t>á</w:t>
      </w:r>
      <w:r w:rsidRPr="00833F0F">
        <w:rPr>
          <w:lang w:val="cs-CZ"/>
        </w:rPr>
        <w:t>nky spole</w:t>
      </w:r>
      <w:r w:rsidRPr="00833F0F">
        <w:rPr>
          <w:rFonts w:cs="Calibre"/>
          <w:lang w:val="cs-CZ"/>
        </w:rPr>
        <w:t>č</w:t>
      </w:r>
      <w:r w:rsidRPr="00833F0F">
        <w:rPr>
          <w:lang w:val="cs-CZ"/>
        </w:rPr>
        <w:t xml:space="preserve">nosti na </w:t>
      </w:r>
      <w:hyperlink r:id="rId14" w:history="1">
        <w:r w:rsidRPr="00833F0F">
          <w:rPr>
            <w:rStyle w:val="Hypertextovodkaz"/>
            <w:lang w:val="cs-CZ"/>
          </w:rPr>
          <w:t>www.cbre.cz</w:t>
        </w:r>
      </w:hyperlink>
      <w:r w:rsidRPr="00833F0F">
        <w:rPr>
          <w:lang w:val="cs-CZ"/>
        </w:rPr>
        <w:t>.</w:t>
      </w:r>
    </w:p>
    <w:sectPr w:rsidR="00A90A3A" w:rsidRPr="00833F0F" w:rsidSect="00E01C37">
      <w:headerReference w:type="default" r:id="rId15"/>
      <w:headerReference w:type="first" r:id="rId16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CB5E3" w14:textId="77777777" w:rsidR="00FB2B48" w:rsidRDefault="00FB2B48" w:rsidP="00C63036">
      <w:r>
        <w:separator/>
      </w:r>
    </w:p>
  </w:endnote>
  <w:endnote w:type="continuationSeparator" w:id="0">
    <w:p w14:paraId="493DD92F" w14:textId="77777777" w:rsidR="00FB2B48" w:rsidRDefault="00FB2B48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0A049" w14:textId="77777777" w:rsidR="00FB2B48" w:rsidRDefault="00FB2B48" w:rsidP="00C63036">
      <w:r>
        <w:separator/>
      </w:r>
    </w:p>
  </w:footnote>
  <w:footnote w:type="continuationSeparator" w:id="0">
    <w:p w14:paraId="249498F5" w14:textId="77777777" w:rsidR="00FB2B48" w:rsidRDefault="00FB2B48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4F704D1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20245"/>
    <w:rsid w:val="00064B63"/>
    <w:rsid w:val="0007401E"/>
    <w:rsid w:val="00080FF9"/>
    <w:rsid w:val="00095D10"/>
    <w:rsid w:val="000A542D"/>
    <w:rsid w:val="000B2FD8"/>
    <w:rsid w:val="000E041E"/>
    <w:rsid w:val="000E3EC9"/>
    <w:rsid w:val="000E526C"/>
    <w:rsid w:val="00110281"/>
    <w:rsid w:val="00140E0A"/>
    <w:rsid w:val="001902C2"/>
    <w:rsid w:val="001F0C96"/>
    <w:rsid w:val="0020739D"/>
    <w:rsid w:val="00262BA0"/>
    <w:rsid w:val="00266A9E"/>
    <w:rsid w:val="00295CBB"/>
    <w:rsid w:val="002C27D6"/>
    <w:rsid w:val="002E3D27"/>
    <w:rsid w:val="002E6DE7"/>
    <w:rsid w:val="00303571"/>
    <w:rsid w:val="00313FE7"/>
    <w:rsid w:val="00336BC6"/>
    <w:rsid w:val="00337FE1"/>
    <w:rsid w:val="00347F27"/>
    <w:rsid w:val="00364ACC"/>
    <w:rsid w:val="00397DB0"/>
    <w:rsid w:val="003B0B9B"/>
    <w:rsid w:val="003B44F1"/>
    <w:rsid w:val="003D3AAC"/>
    <w:rsid w:val="00400C86"/>
    <w:rsid w:val="004025FD"/>
    <w:rsid w:val="004249D6"/>
    <w:rsid w:val="00485562"/>
    <w:rsid w:val="004C4C0A"/>
    <w:rsid w:val="004D0F40"/>
    <w:rsid w:val="0054364E"/>
    <w:rsid w:val="0054772F"/>
    <w:rsid w:val="00552462"/>
    <w:rsid w:val="00554FEE"/>
    <w:rsid w:val="0056708B"/>
    <w:rsid w:val="00576FD6"/>
    <w:rsid w:val="005B2D06"/>
    <w:rsid w:val="005B7BA8"/>
    <w:rsid w:val="005C1891"/>
    <w:rsid w:val="005C6F3C"/>
    <w:rsid w:val="005F36E2"/>
    <w:rsid w:val="005F7F99"/>
    <w:rsid w:val="00601627"/>
    <w:rsid w:val="00603E2D"/>
    <w:rsid w:val="0063267C"/>
    <w:rsid w:val="006578BA"/>
    <w:rsid w:val="006706F9"/>
    <w:rsid w:val="00671479"/>
    <w:rsid w:val="006738F2"/>
    <w:rsid w:val="00685808"/>
    <w:rsid w:val="00690DBA"/>
    <w:rsid w:val="006A0EEA"/>
    <w:rsid w:val="006B4A79"/>
    <w:rsid w:val="006C2970"/>
    <w:rsid w:val="006F397C"/>
    <w:rsid w:val="006F6968"/>
    <w:rsid w:val="0070379F"/>
    <w:rsid w:val="00716A5B"/>
    <w:rsid w:val="00722C2A"/>
    <w:rsid w:val="00736F66"/>
    <w:rsid w:val="00742D8F"/>
    <w:rsid w:val="007542A7"/>
    <w:rsid w:val="007823FF"/>
    <w:rsid w:val="007856A6"/>
    <w:rsid w:val="007A29ED"/>
    <w:rsid w:val="007A7D89"/>
    <w:rsid w:val="007C1420"/>
    <w:rsid w:val="007C6085"/>
    <w:rsid w:val="007E236C"/>
    <w:rsid w:val="007F53DE"/>
    <w:rsid w:val="00830B9C"/>
    <w:rsid w:val="00833F0F"/>
    <w:rsid w:val="008507B8"/>
    <w:rsid w:val="008A02CB"/>
    <w:rsid w:val="008B65F1"/>
    <w:rsid w:val="008E4E06"/>
    <w:rsid w:val="008F1D24"/>
    <w:rsid w:val="008F4915"/>
    <w:rsid w:val="008F4E12"/>
    <w:rsid w:val="0091129E"/>
    <w:rsid w:val="0094537E"/>
    <w:rsid w:val="0095013A"/>
    <w:rsid w:val="00975721"/>
    <w:rsid w:val="00990A0B"/>
    <w:rsid w:val="00992D0D"/>
    <w:rsid w:val="009A3A68"/>
    <w:rsid w:val="00A12185"/>
    <w:rsid w:val="00A15C2E"/>
    <w:rsid w:val="00A26BF0"/>
    <w:rsid w:val="00A31D8B"/>
    <w:rsid w:val="00A67E84"/>
    <w:rsid w:val="00A71B8E"/>
    <w:rsid w:val="00A82D5E"/>
    <w:rsid w:val="00A90A3A"/>
    <w:rsid w:val="00A9707D"/>
    <w:rsid w:val="00AA247D"/>
    <w:rsid w:val="00AB752D"/>
    <w:rsid w:val="00B13513"/>
    <w:rsid w:val="00B22CB7"/>
    <w:rsid w:val="00B45298"/>
    <w:rsid w:val="00B569CA"/>
    <w:rsid w:val="00B627CE"/>
    <w:rsid w:val="00B90463"/>
    <w:rsid w:val="00BA1312"/>
    <w:rsid w:val="00BA3ACA"/>
    <w:rsid w:val="00BB0E9C"/>
    <w:rsid w:val="00BC4CF9"/>
    <w:rsid w:val="00BD66D3"/>
    <w:rsid w:val="00BE7B6E"/>
    <w:rsid w:val="00C0798E"/>
    <w:rsid w:val="00C20CF0"/>
    <w:rsid w:val="00C30180"/>
    <w:rsid w:val="00C47550"/>
    <w:rsid w:val="00C63036"/>
    <w:rsid w:val="00C77AAF"/>
    <w:rsid w:val="00C83135"/>
    <w:rsid w:val="00CE2F00"/>
    <w:rsid w:val="00D141E2"/>
    <w:rsid w:val="00D15FA3"/>
    <w:rsid w:val="00D3006F"/>
    <w:rsid w:val="00D43EBE"/>
    <w:rsid w:val="00D6236B"/>
    <w:rsid w:val="00D66CF5"/>
    <w:rsid w:val="00D76255"/>
    <w:rsid w:val="00DB1F29"/>
    <w:rsid w:val="00DC0226"/>
    <w:rsid w:val="00E01C37"/>
    <w:rsid w:val="00E02087"/>
    <w:rsid w:val="00E11D59"/>
    <w:rsid w:val="00E30CD4"/>
    <w:rsid w:val="00E53CA1"/>
    <w:rsid w:val="00E971BB"/>
    <w:rsid w:val="00EA2841"/>
    <w:rsid w:val="00EB3A75"/>
    <w:rsid w:val="00EB64A0"/>
    <w:rsid w:val="00ED1394"/>
    <w:rsid w:val="00F07545"/>
    <w:rsid w:val="00F121C0"/>
    <w:rsid w:val="00F22E4A"/>
    <w:rsid w:val="00F27BC5"/>
    <w:rsid w:val="00F40950"/>
    <w:rsid w:val="00F51DB7"/>
    <w:rsid w:val="00F52687"/>
    <w:rsid w:val="00F60134"/>
    <w:rsid w:val="00F81642"/>
    <w:rsid w:val="00F82FE1"/>
    <w:rsid w:val="00FA0C13"/>
    <w:rsid w:val="00FB1853"/>
    <w:rsid w:val="00FB2B48"/>
    <w:rsid w:val="00FB548F"/>
    <w:rsid w:val="00FC6E1E"/>
    <w:rsid w:val="00FD7B16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s://www.instagram.com/cbre_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nata.mrazova@cb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hyperlink" Target="http://www.cbr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6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Mrazova, Renata @ Prague</dc:creator>
  <cp:lastModifiedBy>Denisa Kolaříková</cp:lastModifiedBy>
  <cp:revision>3</cp:revision>
  <cp:lastPrinted>2021-10-13T07:50:00Z</cp:lastPrinted>
  <dcterms:created xsi:type="dcterms:W3CDTF">2021-11-22T09:38:00Z</dcterms:created>
  <dcterms:modified xsi:type="dcterms:W3CDTF">2021-11-22T10:17:00Z</dcterms:modified>
</cp:coreProperties>
</file>