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033B" w14:textId="77777777" w:rsidR="00104CBF" w:rsidRDefault="00104CBF" w:rsidP="00B80EC9">
      <w:pPr>
        <w:pStyle w:val="Nadpis1"/>
        <w:spacing w:before="0" w:beforeAutospacing="0" w:after="0" w:afterAutospacing="0"/>
        <w:jc w:val="center"/>
        <w:rPr>
          <w:sz w:val="34"/>
          <w:szCs w:val="40"/>
        </w:rPr>
      </w:pPr>
    </w:p>
    <w:p w14:paraId="2C37D7AF" w14:textId="13595816" w:rsidR="00EA4DDE" w:rsidRPr="00104CBF" w:rsidRDefault="00104CBF" w:rsidP="00B80EC9">
      <w:pPr>
        <w:pStyle w:val="Nadpis1"/>
        <w:spacing w:before="0" w:beforeAutospacing="0" w:after="0" w:afterAutospacing="0"/>
        <w:jc w:val="center"/>
        <w:rPr>
          <w:sz w:val="34"/>
          <w:szCs w:val="40"/>
        </w:rPr>
      </w:pPr>
      <w:r w:rsidRPr="00104CBF">
        <w:rPr>
          <w:sz w:val="34"/>
          <w:szCs w:val="40"/>
        </w:rPr>
        <w:t>BUDEME SE MÍT LÉPE? ANEB BEZ PRÁCE NEJSOU KOLÁČE</w:t>
      </w:r>
    </w:p>
    <w:p w14:paraId="7D8A35AB" w14:textId="77777777" w:rsidR="00B80EC9" w:rsidRPr="00B80EC9" w:rsidRDefault="00B80EC9" w:rsidP="00B80EC9">
      <w:pPr>
        <w:spacing w:after="0" w:line="240" w:lineRule="auto"/>
        <w:jc w:val="both"/>
        <w:rPr>
          <w:sz w:val="20"/>
          <w:szCs w:val="20"/>
        </w:rPr>
      </w:pPr>
    </w:p>
    <w:p w14:paraId="4C6E257D" w14:textId="18C7945F" w:rsidR="006E1584" w:rsidRPr="00B80EC9" w:rsidRDefault="006E1584" w:rsidP="00B80EC9">
      <w:pPr>
        <w:spacing w:after="0" w:line="240" w:lineRule="auto"/>
        <w:jc w:val="both"/>
        <w:rPr>
          <w:sz w:val="20"/>
          <w:szCs w:val="20"/>
        </w:rPr>
      </w:pPr>
      <w:r w:rsidRPr="00B80EC9">
        <w:rPr>
          <w:sz w:val="20"/>
          <w:szCs w:val="20"/>
        </w:rPr>
        <w:t xml:space="preserve">V uplynulých deseti letech byl pro </w:t>
      </w:r>
      <w:r w:rsidR="00FE4EAD">
        <w:rPr>
          <w:sz w:val="20"/>
          <w:szCs w:val="20"/>
        </w:rPr>
        <w:t>č</w:t>
      </w:r>
      <w:r w:rsidRPr="00B80EC9">
        <w:rPr>
          <w:sz w:val="20"/>
          <w:szCs w:val="20"/>
        </w:rPr>
        <w:t xml:space="preserve">eskou ekonomiku charakteristický poměrně rychlý růst mezd. Za poslední dekádu vzrostly nominální mzdy v Česku o necelých 59 %, což </w:t>
      </w:r>
      <w:r w:rsidR="00B80EC9" w:rsidRPr="00B80EC9">
        <w:rPr>
          <w:sz w:val="20"/>
          <w:szCs w:val="20"/>
        </w:rPr>
        <w:t>znamená</w:t>
      </w:r>
      <w:r w:rsidRPr="00B80EC9">
        <w:rPr>
          <w:sz w:val="20"/>
          <w:szCs w:val="20"/>
        </w:rPr>
        <w:t xml:space="preserve"> nárůst o 14 159 Kč. Ke zvýšení výdělků přispíval hlavně celkový růst nejen české, ale i globální ekonomiky, který se projevil na vyšší poptávce po pracovnících. Na českém trhu práce došlo k výraznému poklesu míry nezaměstnanosti při současném nárůstu míry zaměstnaného obyvatelstva, což vyvolalo napětí </w:t>
      </w:r>
      <w:r w:rsidR="00B80EC9" w:rsidRPr="00B80EC9">
        <w:rPr>
          <w:sz w:val="20"/>
          <w:szCs w:val="20"/>
        </w:rPr>
        <w:t xml:space="preserve">a </w:t>
      </w:r>
      <w:r w:rsidRPr="00B80EC9">
        <w:rPr>
          <w:sz w:val="20"/>
          <w:szCs w:val="20"/>
        </w:rPr>
        <w:t xml:space="preserve">vyústilo v takto masivní růst mezd. </w:t>
      </w:r>
    </w:p>
    <w:p w14:paraId="5ADEEF61" w14:textId="77777777" w:rsidR="00B80EC9" w:rsidRPr="00B80EC9" w:rsidRDefault="00B80EC9" w:rsidP="00B80EC9">
      <w:pPr>
        <w:spacing w:after="0" w:line="240" w:lineRule="auto"/>
        <w:jc w:val="both"/>
        <w:rPr>
          <w:sz w:val="20"/>
          <w:szCs w:val="20"/>
        </w:rPr>
      </w:pPr>
    </w:p>
    <w:p w14:paraId="2E5918B8" w14:textId="1FAD54EA" w:rsidR="00B066E0" w:rsidRPr="00B80EC9" w:rsidRDefault="00EA4DDE" w:rsidP="00B80EC9">
      <w:pPr>
        <w:pStyle w:val="Nadpis2"/>
        <w:spacing w:before="0" w:line="240" w:lineRule="auto"/>
        <w:rPr>
          <w:sz w:val="20"/>
          <w:szCs w:val="20"/>
        </w:rPr>
      </w:pPr>
      <w:r w:rsidRPr="00B80EC9">
        <w:rPr>
          <w:noProof/>
          <w:sz w:val="20"/>
          <w:szCs w:val="20"/>
          <w:lang w:eastAsia="cs-CZ"/>
        </w:rPr>
        <w:drawing>
          <wp:inline distT="0" distB="0" distL="0" distR="0" wp14:anchorId="2AE91FF1" wp14:editId="0EC486C3">
            <wp:extent cx="6624000" cy="3096000"/>
            <wp:effectExtent l="0" t="0" r="5715" b="0"/>
            <wp:docPr id="1" name="Graf 1">
              <a:extLst xmlns:a="http://schemas.openxmlformats.org/drawingml/2006/main">
                <a:ext uri="{FF2B5EF4-FFF2-40B4-BE49-F238E27FC236}">
                  <a16:creationId xmlns:a16="http://schemas.microsoft.com/office/drawing/2014/main" id="{F2561760-4AA8-460E-A166-15AE993DE4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9F5359" w14:textId="35EB1D43" w:rsidR="00B80EC9" w:rsidRDefault="004D29A1" w:rsidP="004D29A1">
      <w:pPr>
        <w:pStyle w:val="Podnadpis"/>
        <w:spacing w:after="0" w:line="240" w:lineRule="auto"/>
        <w:rPr>
          <w:sz w:val="20"/>
          <w:szCs w:val="20"/>
        </w:rPr>
      </w:pPr>
      <w:r w:rsidRPr="00B80EC9">
        <w:rPr>
          <w:sz w:val="20"/>
          <w:szCs w:val="20"/>
        </w:rPr>
        <w:t xml:space="preserve">Zdroj: </w:t>
      </w:r>
      <w:r>
        <w:rPr>
          <w:sz w:val="20"/>
          <w:szCs w:val="20"/>
        </w:rPr>
        <w:t>ČSÚ</w:t>
      </w:r>
    </w:p>
    <w:p w14:paraId="2E968E39" w14:textId="77777777" w:rsidR="004D29A1" w:rsidRPr="00B80EC9" w:rsidRDefault="004D29A1" w:rsidP="00B80EC9">
      <w:pPr>
        <w:spacing w:after="0" w:line="240" w:lineRule="auto"/>
        <w:rPr>
          <w:sz w:val="20"/>
          <w:szCs w:val="20"/>
        </w:rPr>
      </w:pPr>
    </w:p>
    <w:p w14:paraId="76F3A3D1" w14:textId="6AD6DF40" w:rsidR="006E1584" w:rsidRPr="00B80EC9" w:rsidRDefault="006E1584" w:rsidP="00B80EC9">
      <w:pPr>
        <w:spacing w:after="0" w:line="240" w:lineRule="auto"/>
        <w:jc w:val="both"/>
        <w:rPr>
          <w:sz w:val="20"/>
          <w:szCs w:val="20"/>
        </w:rPr>
      </w:pPr>
      <w:r w:rsidRPr="00B80EC9">
        <w:rPr>
          <w:sz w:val="20"/>
          <w:szCs w:val="20"/>
        </w:rPr>
        <w:t>Česká ekonomika však nebyla jedinou zemí v Evropě, kde mzdy rostly. V posledních deseti letech se z vyšších nominálních mezd radovali téměř všichni obyvatelé Evropy. Česká republika pak v této oblasti patřila mezi evropské „premianty“, kdy se situace</w:t>
      </w:r>
      <w:r w:rsidR="00FE4EAD">
        <w:rPr>
          <w:sz w:val="20"/>
          <w:szCs w:val="20"/>
        </w:rPr>
        <w:t xml:space="preserve"> </w:t>
      </w:r>
      <w:r w:rsidR="00FE4EAD">
        <w:rPr>
          <w:sz w:val="20"/>
          <w:szCs w:val="20"/>
        </w:rPr>
        <w:br/>
      </w:r>
      <w:r w:rsidRPr="00B80EC9">
        <w:rPr>
          <w:sz w:val="20"/>
          <w:szCs w:val="20"/>
        </w:rPr>
        <w:t xml:space="preserve">na trhu práce projevila výrazným růstem průměrné hrubé mzdy. Nicméně nominální růst cen za práci s sebou přináší </w:t>
      </w:r>
      <w:r w:rsidR="00FE4EAD">
        <w:rPr>
          <w:sz w:val="20"/>
          <w:szCs w:val="20"/>
        </w:rPr>
        <w:t xml:space="preserve">i </w:t>
      </w:r>
      <w:r w:rsidRPr="00B80EC9">
        <w:rPr>
          <w:sz w:val="20"/>
          <w:szCs w:val="20"/>
        </w:rPr>
        <w:t xml:space="preserve">tlak na růst cenové hladiny a vyšší inflaci, a růst mezd tak nakonec nemusí znamenat vyšší kupní sílu. Jak si tedy stály mzdy v Česku v reálném vyjádření? Nejrychlejší růst mezd byl z tohoto pohledu patrný mezi roky 2016 až 2018, průměrně pak v uplynulé dekádě rostly reálné mzdy ročním tempem 1,7 %. Nicméně v uplynulém desetiletí jsme „nebohatli“ rychleji než v dekádě předchozí – roky 2001 až 2010 tento růst překonaly. V tomto období jsme se Slovenskem dokonce patřili mezi premianty s růstem mezd vysoko </w:t>
      </w:r>
      <w:r w:rsidR="00FE4EAD">
        <w:rPr>
          <w:sz w:val="20"/>
          <w:szCs w:val="20"/>
        </w:rPr>
        <w:br/>
      </w:r>
      <w:r w:rsidRPr="00B80EC9">
        <w:rPr>
          <w:sz w:val="20"/>
          <w:szCs w:val="20"/>
        </w:rPr>
        <w:t xml:space="preserve">nad průměrem EU i okolních států. </w:t>
      </w:r>
    </w:p>
    <w:p w14:paraId="5628FB46" w14:textId="77777777" w:rsidR="006E1584" w:rsidRPr="00B80EC9" w:rsidRDefault="006E1584" w:rsidP="00B80EC9">
      <w:pPr>
        <w:spacing w:after="0" w:line="240" w:lineRule="auto"/>
        <w:jc w:val="both"/>
        <w:rPr>
          <w:sz w:val="20"/>
          <w:szCs w:val="20"/>
        </w:rPr>
      </w:pPr>
    </w:p>
    <w:p w14:paraId="153CFF26" w14:textId="1F207515" w:rsidR="006E1584" w:rsidRPr="00C139C7" w:rsidRDefault="006E1584" w:rsidP="00B80EC9">
      <w:pPr>
        <w:pStyle w:val="Nadpis3"/>
        <w:spacing w:before="0" w:line="240" w:lineRule="auto"/>
        <w:rPr>
          <w:b/>
          <w:bCs/>
          <w:szCs w:val="22"/>
        </w:rPr>
      </w:pPr>
      <w:r w:rsidRPr="00C139C7">
        <w:rPr>
          <w:b/>
          <w:bCs/>
          <w:szCs w:val="22"/>
        </w:rPr>
        <w:t>Budeme se mít lépe?</w:t>
      </w:r>
    </w:p>
    <w:p w14:paraId="023AA90E" w14:textId="41924CBA" w:rsidR="006E1584" w:rsidRPr="00B80EC9" w:rsidRDefault="006E1584" w:rsidP="00B80EC9">
      <w:pPr>
        <w:spacing w:after="0" w:line="240" w:lineRule="auto"/>
        <w:jc w:val="both"/>
        <w:rPr>
          <w:sz w:val="20"/>
          <w:szCs w:val="20"/>
        </w:rPr>
      </w:pPr>
      <w:r w:rsidRPr="00B80EC9">
        <w:rPr>
          <w:sz w:val="20"/>
          <w:szCs w:val="20"/>
        </w:rPr>
        <w:t xml:space="preserve">Mzdová dynamika v nominálním vyjádření by měla i v příštím roce pokračovat v mírném růstu. Mzdy bude tlačit nahoru zejména efekt navýšení minimální mzdy na 16 200 Kč a také přetrvávající tlak na trhu práce, tedy nedostatek zaměstnanců a rekordně nízká nezaměstnanost. </w:t>
      </w:r>
      <w:r w:rsidRPr="00B80EC9">
        <w:rPr>
          <w:b/>
          <w:sz w:val="20"/>
          <w:szCs w:val="20"/>
        </w:rPr>
        <w:t xml:space="preserve">V letech 2022 až 2023 očekáváme průměrný roční růst mezd v rozpětí 4 </w:t>
      </w:r>
      <w:r w:rsidR="00C139C7">
        <w:rPr>
          <w:b/>
          <w:sz w:val="20"/>
          <w:szCs w:val="20"/>
        </w:rPr>
        <w:t xml:space="preserve">až </w:t>
      </w:r>
      <w:r w:rsidRPr="00B80EC9">
        <w:rPr>
          <w:b/>
          <w:sz w:val="20"/>
          <w:szCs w:val="20"/>
        </w:rPr>
        <w:t>6 %.</w:t>
      </w:r>
      <w:r w:rsidRPr="00B80EC9">
        <w:rPr>
          <w:sz w:val="20"/>
          <w:szCs w:val="20"/>
        </w:rPr>
        <w:t xml:space="preserve"> Nicméně navýšení minimální mzdy ani růst průměrné mzdy neříká, jestli se skutečně budeme mít lépe. Kvůli aktuální vysoké cenové hladině, kdy inflace roste rychleji než mzdy, se v letošním i příštím roce budeme mít v reálném vyjádření o něco hůř než v předchozích letech. Záporný reálný růst mezd nás provází od druhé poloviny loňského roku a v nadcházejících měsících by nemělo dojít k výrazné změně. Vysoká cenová hladina se tak projevuje negativně na bohatství domácností. </w:t>
      </w:r>
    </w:p>
    <w:p w14:paraId="17DACC82" w14:textId="77777777" w:rsidR="00866B0F" w:rsidRPr="00B80EC9" w:rsidRDefault="00866B0F" w:rsidP="00B80EC9">
      <w:pPr>
        <w:spacing w:after="0" w:line="240" w:lineRule="auto"/>
        <w:jc w:val="both"/>
        <w:rPr>
          <w:sz w:val="20"/>
          <w:szCs w:val="20"/>
        </w:rPr>
      </w:pPr>
    </w:p>
    <w:p w14:paraId="4EA9F6E1" w14:textId="532A4661" w:rsidR="00EA4DDE" w:rsidRPr="00B80EC9" w:rsidRDefault="00190DC1" w:rsidP="00B80EC9">
      <w:pPr>
        <w:spacing w:after="0" w:line="240" w:lineRule="auto"/>
        <w:jc w:val="both"/>
        <w:rPr>
          <w:noProof/>
          <w:sz w:val="20"/>
          <w:szCs w:val="20"/>
          <w:lang w:eastAsia="cs-CZ"/>
        </w:rPr>
      </w:pPr>
      <w:r w:rsidRPr="00B80EC9">
        <w:rPr>
          <w:noProof/>
          <w:sz w:val="20"/>
          <w:szCs w:val="20"/>
          <w:lang w:eastAsia="cs-CZ"/>
        </w:rPr>
        <w:br w:type="page"/>
      </w:r>
    </w:p>
    <w:p w14:paraId="0AF5A253" w14:textId="1DDD5B3A" w:rsidR="001C55BA" w:rsidRPr="00C139C7" w:rsidRDefault="00EA4DDE" w:rsidP="00C139C7">
      <w:pPr>
        <w:pStyle w:val="Nadpis2"/>
        <w:spacing w:before="0" w:line="240" w:lineRule="auto"/>
        <w:jc w:val="center"/>
        <w:rPr>
          <w:rStyle w:val="Siln"/>
          <w:sz w:val="22"/>
          <w:szCs w:val="21"/>
        </w:rPr>
      </w:pPr>
      <w:r w:rsidRPr="00C139C7">
        <w:rPr>
          <w:rStyle w:val="Siln"/>
          <w:sz w:val="22"/>
          <w:szCs w:val="21"/>
        </w:rPr>
        <w:lastRenderedPageBreak/>
        <w:t xml:space="preserve">Srovnání reálného růstu mezd ve vybraných zemích v letech 2001 </w:t>
      </w:r>
      <w:r w:rsidR="00C139C7">
        <w:rPr>
          <w:rStyle w:val="Siln"/>
          <w:sz w:val="22"/>
          <w:szCs w:val="21"/>
        </w:rPr>
        <w:t>až</w:t>
      </w:r>
      <w:r w:rsidRPr="00C139C7">
        <w:rPr>
          <w:rStyle w:val="Siln"/>
          <w:sz w:val="22"/>
          <w:szCs w:val="21"/>
        </w:rPr>
        <w:t xml:space="preserve"> 2020</w:t>
      </w:r>
    </w:p>
    <w:p w14:paraId="072631D1" w14:textId="77777777" w:rsidR="00B066E0" w:rsidRPr="00B80EC9" w:rsidRDefault="00B066E0" w:rsidP="00B80EC9">
      <w:pPr>
        <w:spacing w:after="0" w:line="240" w:lineRule="auto"/>
        <w:rPr>
          <w:sz w:val="20"/>
          <w:szCs w:val="20"/>
        </w:rPr>
      </w:pPr>
    </w:p>
    <w:tbl>
      <w:tblPr>
        <w:tblW w:w="10040" w:type="dxa"/>
        <w:tblCellMar>
          <w:top w:w="198" w:type="dxa"/>
          <w:left w:w="70" w:type="dxa"/>
          <w:right w:w="113" w:type="dxa"/>
        </w:tblCellMar>
        <w:tblLook w:val="04A0" w:firstRow="1" w:lastRow="0" w:firstColumn="1" w:lastColumn="0" w:noHBand="0" w:noVBand="1"/>
      </w:tblPr>
      <w:tblGrid>
        <w:gridCol w:w="1129"/>
        <w:gridCol w:w="1418"/>
        <w:gridCol w:w="1134"/>
        <w:gridCol w:w="992"/>
        <w:gridCol w:w="1134"/>
        <w:gridCol w:w="1134"/>
        <w:gridCol w:w="1134"/>
        <w:gridCol w:w="1134"/>
        <w:gridCol w:w="831"/>
      </w:tblGrid>
      <w:tr w:rsidR="003139ED" w:rsidRPr="00B80EC9" w14:paraId="4702C312" w14:textId="77777777" w:rsidTr="00AB2B73">
        <w:trPr>
          <w:trHeight w:val="510"/>
        </w:trPr>
        <w:tc>
          <w:tcPr>
            <w:tcW w:w="1129"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C832"/>
            <w:noWrap/>
            <w:vAlign w:val="center"/>
            <w:hideMark/>
          </w:tcPr>
          <w:p w14:paraId="4662E8E4" w14:textId="404FA176" w:rsidR="00EA4DDE" w:rsidRPr="00B80EC9" w:rsidRDefault="00EA4DDE" w:rsidP="00B80EC9">
            <w:pPr>
              <w:spacing w:after="0" w:line="240" w:lineRule="auto"/>
              <w:jc w:val="right"/>
              <w:rPr>
                <w:rFonts w:ascii="Calibri" w:eastAsia="Times New Roman" w:hAnsi="Calibri" w:cs="Calibri"/>
                <w:b/>
                <w:bCs/>
                <w:sz w:val="20"/>
                <w:szCs w:val="20"/>
                <w:lang w:eastAsia="cs-CZ"/>
              </w:rPr>
            </w:pPr>
          </w:p>
        </w:tc>
        <w:tc>
          <w:tcPr>
            <w:tcW w:w="1418" w:type="dxa"/>
            <w:tcBorders>
              <w:top w:val="single" w:sz="4" w:space="0" w:color="FFFFFF" w:themeColor="background1"/>
              <w:left w:val="single" w:sz="8" w:space="0" w:color="FFFFFF" w:themeColor="background1"/>
              <w:bottom w:val="single" w:sz="4" w:space="0" w:color="FFFFFF" w:themeColor="background1"/>
              <w:right w:val="single" w:sz="4" w:space="0" w:color="FFFFFF"/>
            </w:tcBorders>
            <w:shd w:val="clear" w:color="auto" w:fill="FFC832"/>
            <w:noWrap/>
            <w:vAlign w:val="center"/>
            <w:hideMark/>
          </w:tcPr>
          <w:p w14:paraId="5B8D4FF6"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Česká republika</w:t>
            </w:r>
          </w:p>
        </w:tc>
        <w:tc>
          <w:tcPr>
            <w:tcW w:w="1134"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C832"/>
            <w:noWrap/>
            <w:vAlign w:val="center"/>
            <w:hideMark/>
          </w:tcPr>
          <w:p w14:paraId="5741881A"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Maďarsko</w:t>
            </w:r>
          </w:p>
        </w:tc>
        <w:tc>
          <w:tcPr>
            <w:tcW w:w="992"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C832"/>
            <w:noWrap/>
            <w:vAlign w:val="center"/>
            <w:hideMark/>
          </w:tcPr>
          <w:p w14:paraId="080F3154"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Polsko</w:t>
            </w:r>
          </w:p>
        </w:tc>
        <w:tc>
          <w:tcPr>
            <w:tcW w:w="1134"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C832"/>
            <w:noWrap/>
            <w:vAlign w:val="center"/>
            <w:hideMark/>
          </w:tcPr>
          <w:p w14:paraId="49E41BDD"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Slovensko</w:t>
            </w:r>
          </w:p>
        </w:tc>
        <w:tc>
          <w:tcPr>
            <w:tcW w:w="1134"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C832"/>
            <w:noWrap/>
            <w:vAlign w:val="center"/>
            <w:hideMark/>
          </w:tcPr>
          <w:p w14:paraId="4F0DB78A"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Rakousko</w:t>
            </w:r>
          </w:p>
        </w:tc>
        <w:tc>
          <w:tcPr>
            <w:tcW w:w="1134"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C832"/>
            <w:noWrap/>
            <w:vAlign w:val="center"/>
            <w:hideMark/>
          </w:tcPr>
          <w:p w14:paraId="5C470332"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Německo</w:t>
            </w:r>
          </w:p>
        </w:tc>
        <w:tc>
          <w:tcPr>
            <w:tcW w:w="1134"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C832"/>
            <w:noWrap/>
            <w:vAlign w:val="center"/>
            <w:hideMark/>
          </w:tcPr>
          <w:p w14:paraId="2B527BBE"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EU (27)</w:t>
            </w:r>
          </w:p>
        </w:tc>
        <w:tc>
          <w:tcPr>
            <w:tcW w:w="831"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FFC832"/>
            <w:noWrap/>
            <w:vAlign w:val="center"/>
            <w:hideMark/>
          </w:tcPr>
          <w:p w14:paraId="1661F50D" w14:textId="77777777" w:rsidR="00EA4DDE" w:rsidRPr="00B80EC9" w:rsidRDefault="00EA4DDE" w:rsidP="00B80EC9">
            <w:pPr>
              <w:spacing w:after="0" w:line="240" w:lineRule="auto"/>
              <w:jc w:val="right"/>
              <w:rPr>
                <w:b/>
                <w:sz w:val="20"/>
                <w:szCs w:val="20"/>
                <w:lang w:eastAsia="cs-CZ"/>
              </w:rPr>
            </w:pPr>
            <w:r w:rsidRPr="00B80EC9">
              <w:rPr>
                <w:b/>
                <w:sz w:val="20"/>
                <w:szCs w:val="20"/>
                <w:lang w:eastAsia="cs-CZ"/>
              </w:rPr>
              <w:t>USA</w:t>
            </w:r>
          </w:p>
        </w:tc>
      </w:tr>
      <w:tr w:rsidR="003139ED" w:rsidRPr="00B80EC9" w14:paraId="33549E0A" w14:textId="77777777" w:rsidTr="005F7A56">
        <w:trPr>
          <w:trHeight w:val="510"/>
        </w:trPr>
        <w:tc>
          <w:tcPr>
            <w:tcW w:w="1129" w:type="dxa"/>
            <w:tcBorders>
              <w:top w:val="single" w:sz="4"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50027117" w14:textId="77777777" w:rsidR="00EA4DDE" w:rsidRPr="00B80EC9" w:rsidRDefault="00EA4DDE" w:rsidP="00B80EC9">
            <w:pPr>
              <w:spacing w:after="0" w:line="240" w:lineRule="auto"/>
              <w:jc w:val="center"/>
              <w:rPr>
                <w:rFonts w:asciiTheme="majorHAnsi" w:eastAsia="Times New Roman" w:hAnsiTheme="majorHAnsi" w:cs="Calibri"/>
                <w:b/>
                <w:bCs/>
                <w:color w:val="000000"/>
                <w:sz w:val="20"/>
                <w:szCs w:val="20"/>
                <w:lang w:eastAsia="cs-CZ"/>
              </w:rPr>
            </w:pPr>
            <w:r w:rsidRPr="00B80EC9">
              <w:rPr>
                <w:rFonts w:asciiTheme="majorHAnsi" w:eastAsia="Times New Roman" w:hAnsiTheme="majorHAnsi" w:cs="Calibri"/>
                <w:b/>
                <w:bCs/>
                <w:color w:val="000000"/>
                <w:sz w:val="20"/>
                <w:szCs w:val="20"/>
                <w:lang w:eastAsia="cs-CZ"/>
              </w:rPr>
              <w:t>2001-2010</w:t>
            </w:r>
          </w:p>
        </w:tc>
        <w:tc>
          <w:tcPr>
            <w:tcW w:w="1418" w:type="dxa"/>
            <w:tcBorders>
              <w:top w:val="single" w:sz="4" w:space="0" w:color="FFFFFF" w:themeColor="background1"/>
              <w:left w:val="nil"/>
              <w:bottom w:val="single" w:sz="8" w:space="0" w:color="BFBFBF"/>
              <w:right w:val="nil"/>
            </w:tcBorders>
            <w:shd w:val="clear" w:color="auto" w:fill="auto"/>
            <w:noWrap/>
            <w:vAlign w:val="center"/>
            <w:hideMark/>
          </w:tcPr>
          <w:p w14:paraId="08B95A3F"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3,4</w:t>
            </w:r>
          </w:p>
        </w:tc>
        <w:tc>
          <w:tcPr>
            <w:tcW w:w="1134" w:type="dxa"/>
            <w:tcBorders>
              <w:top w:val="single" w:sz="4" w:space="0" w:color="FFFFFF" w:themeColor="background1"/>
              <w:left w:val="nil"/>
              <w:bottom w:val="single" w:sz="8" w:space="0" w:color="BFBFBF"/>
              <w:right w:val="nil"/>
            </w:tcBorders>
            <w:shd w:val="clear" w:color="auto" w:fill="auto"/>
            <w:noWrap/>
            <w:vAlign w:val="center"/>
            <w:hideMark/>
          </w:tcPr>
          <w:p w14:paraId="49C7E30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2,0</w:t>
            </w:r>
          </w:p>
        </w:tc>
        <w:tc>
          <w:tcPr>
            <w:tcW w:w="992" w:type="dxa"/>
            <w:tcBorders>
              <w:top w:val="single" w:sz="4" w:space="0" w:color="FFFFFF" w:themeColor="background1"/>
              <w:left w:val="nil"/>
              <w:bottom w:val="single" w:sz="8" w:space="0" w:color="BFBFBF"/>
              <w:right w:val="nil"/>
            </w:tcBorders>
            <w:shd w:val="clear" w:color="auto" w:fill="auto"/>
            <w:noWrap/>
            <w:vAlign w:val="center"/>
            <w:hideMark/>
          </w:tcPr>
          <w:p w14:paraId="145D499B"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1,8</w:t>
            </w:r>
          </w:p>
        </w:tc>
        <w:tc>
          <w:tcPr>
            <w:tcW w:w="1134" w:type="dxa"/>
            <w:tcBorders>
              <w:top w:val="single" w:sz="4" w:space="0" w:color="FFFFFF" w:themeColor="background1"/>
              <w:left w:val="nil"/>
              <w:bottom w:val="single" w:sz="8" w:space="0" w:color="BFBFBF"/>
              <w:right w:val="nil"/>
            </w:tcBorders>
            <w:shd w:val="clear" w:color="auto" w:fill="auto"/>
            <w:noWrap/>
            <w:vAlign w:val="center"/>
            <w:hideMark/>
          </w:tcPr>
          <w:p w14:paraId="59DD6C6A"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4,0</w:t>
            </w:r>
          </w:p>
        </w:tc>
        <w:tc>
          <w:tcPr>
            <w:tcW w:w="1134" w:type="dxa"/>
            <w:tcBorders>
              <w:top w:val="single" w:sz="4" w:space="0" w:color="FFFFFF" w:themeColor="background1"/>
              <w:left w:val="nil"/>
              <w:bottom w:val="single" w:sz="8" w:space="0" w:color="BFBFBF"/>
              <w:right w:val="nil"/>
            </w:tcBorders>
            <w:shd w:val="clear" w:color="auto" w:fill="auto"/>
            <w:noWrap/>
            <w:vAlign w:val="center"/>
            <w:hideMark/>
          </w:tcPr>
          <w:p w14:paraId="1E9505B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0,4</w:t>
            </w:r>
          </w:p>
        </w:tc>
        <w:tc>
          <w:tcPr>
            <w:tcW w:w="1134" w:type="dxa"/>
            <w:tcBorders>
              <w:top w:val="single" w:sz="4" w:space="0" w:color="FFFFFF" w:themeColor="background1"/>
              <w:left w:val="nil"/>
              <w:bottom w:val="single" w:sz="8" w:space="0" w:color="BFBFBF"/>
              <w:right w:val="nil"/>
            </w:tcBorders>
            <w:shd w:val="clear" w:color="auto" w:fill="auto"/>
            <w:noWrap/>
            <w:vAlign w:val="center"/>
            <w:hideMark/>
          </w:tcPr>
          <w:p w14:paraId="5607E8F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0,2</w:t>
            </w:r>
          </w:p>
        </w:tc>
        <w:tc>
          <w:tcPr>
            <w:tcW w:w="1134" w:type="dxa"/>
            <w:tcBorders>
              <w:top w:val="single" w:sz="4" w:space="0" w:color="FFFFFF" w:themeColor="background1"/>
              <w:left w:val="nil"/>
              <w:bottom w:val="single" w:sz="8" w:space="0" w:color="BFBFBF"/>
              <w:right w:val="nil"/>
            </w:tcBorders>
            <w:shd w:val="clear" w:color="auto" w:fill="auto"/>
            <w:noWrap/>
            <w:vAlign w:val="center"/>
            <w:hideMark/>
          </w:tcPr>
          <w:p w14:paraId="0881E04B"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0,7</w:t>
            </w:r>
          </w:p>
        </w:tc>
        <w:tc>
          <w:tcPr>
            <w:tcW w:w="831" w:type="dxa"/>
            <w:tcBorders>
              <w:top w:val="single" w:sz="4" w:space="0" w:color="FFFFFF" w:themeColor="background1"/>
              <w:left w:val="nil"/>
              <w:bottom w:val="single" w:sz="8" w:space="0" w:color="BFBFBF"/>
              <w:right w:val="nil"/>
            </w:tcBorders>
            <w:shd w:val="clear" w:color="auto" w:fill="auto"/>
            <w:noWrap/>
            <w:vAlign w:val="center"/>
            <w:hideMark/>
          </w:tcPr>
          <w:p w14:paraId="7986616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1,1</w:t>
            </w:r>
          </w:p>
        </w:tc>
      </w:tr>
      <w:tr w:rsidR="003139ED" w:rsidRPr="00B80EC9" w14:paraId="08F6E2D6"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503FC0D2"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2011</w:t>
            </w:r>
          </w:p>
        </w:tc>
        <w:tc>
          <w:tcPr>
            <w:tcW w:w="1418" w:type="dxa"/>
            <w:tcBorders>
              <w:top w:val="single" w:sz="8" w:space="0" w:color="BFBFBF"/>
              <w:left w:val="nil"/>
              <w:bottom w:val="single" w:sz="8" w:space="0" w:color="BFBFBF"/>
              <w:right w:val="nil"/>
            </w:tcBorders>
            <w:shd w:val="clear" w:color="auto" w:fill="auto"/>
            <w:noWrap/>
            <w:vAlign w:val="center"/>
            <w:hideMark/>
          </w:tcPr>
          <w:p w14:paraId="38D5144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2,8</w:t>
            </w:r>
          </w:p>
        </w:tc>
        <w:tc>
          <w:tcPr>
            <w:tcW w:w="1134" w:type="dxa"/>
            <w:tcBorders>
              <w:top w:val="single" w:sz="8" w:space="0" w:color="BFBFBF"/>
              <w:left w:val="nil"/>
              <w:bottom w:val="single" w:sz="8" w:space="0" w:color="BFBFBF"/>
              <w:right w:val="nil"/>
            </w:tcBorders>
            <w:shd w:val="clear" w:color="auto" w:fill="auto"/>
            <w:noWrap/>
            <w:vAlign w:val="center"/>
            <w:hideMark/>
          </w:tcPr>
          <w:p w14:paraId="6178A9E8"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2,2</w:t>
            </w:r>
          </w:p>
        </w:tc>
        <w:tc>
          <w:tcPr>
            <w:tcW w:w="992" w:type="dxa"/>
            <w:tcBorders>
              <w:top w:val="single" w:sz="8" w:space="0" w:color="BFBFBF"/>
              <w:left w:val="nil"/>
              <w:bottom w:val="single" w:sz="8" w:space="0" w:color="BFBFBF"/>
              <w:right w:val="nil"/>
            </w:tcBorders>
            <w:shd w:val="clear" w:color="auto" w:fill="auto"/>
            <w:noWrap/>
            <w:vAlign w:val="center"/>
            <w:hideMark/>
          </w:tcPr>
          <w:p w14:paraId="6D1B249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1,9</w:t>
            </w:r>
          </w:p>
        </w:tc>
        <w:tc>
          <w:tcPr>
            <w:tcW w:w="1134" w:type="dxa"/>
            <w:tcBorders>
              <w:top w:val="single" w:sz="8" w:space="0" w:color="BFBFBF"/>
              <w:left w:val="nil"/>
              <w:bottom w:val="single" w:sz="8" w:space="0" w:color="BFBFBF"/>
              <w:right w:val="nil"/>
            </w:tcBorders>
            <w:shd w:val="clear" w:color="auto" w:fill="auto"/>
            <w:noWrap/>
            <w:vAlign w:val="center"/>
            <w:hideMark/>
          </w:tcPr>
          <w:p w14:paraId="4558742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0,3</w:t>
            </w:r>
          </w:p>
        </w:tc>
        <w:tc>
          <w:tcPr>
            <w:tcW w:w="1134" w:type="dxa"/>
            <w:tcBorders>
              <w:top w:val="single" w:sz="8" w:space="0" w:color="BFBFBF"/>
              <w:left w:val="nil"/>
              <w:bottom w:val="single" w:sz="8" w:space="0" w:color="BFBFBF"/>
              <w:right w:val="nil"/>
            </w:tcBorders>
            <w:shd w:val="clear" w:color="auto" w:fill="auto"/>
            <w:noWrap/>
            <w:vAlign w:val="center"/>
            <w:hideMark/>
          </w:tcPr>
          <w:p w14:paraId="6D6BC86A"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0,2</w:t>
            </w:r>
          </w:p>
        </w:tc>
        <w:tc>
          <w:tcPr>
            <w:tcW w:w="1134" w:type="dxa"/>
            <w:tcBorders>
              <w:top w:val="single" w:sz="8" w:space="0" w:color="BFBFBF"/>
              <w:left w:val="nil"/>
              <w:bottom w:val="single" w:sz="8" w:space="0" w:color="BFBFBF"/>
              <w:right w:val="nil"/>
            </w:tcBorders>
            <w:shd w:val="clear" w:color="auto" w:fill="auto"/>
            <w:noWrap/>
            <w:vAlign w:val="center"/>
            <w:hideMark/>
          </w:tcPr>
          <w:p w14:paraId="5AF46DB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1,9</w:t>
            </w:r>
          </w:p>
        </w:tc>
        <w:tc>
          <w:tcPr>
            <w:tcW w:w="1134" w:type="dxa"/>
            <w:tcBorders>
              <w:top w:val="single" w:sz="8" w:space="0" w:color="BFBFBF"/>
              <w:left w:val="nil"/>
              <w:bottom w:val="single" w:sz="8" w:space="0" w:color="BFBFBF"/>
              <w:right w:val="nil"/>
            </w:tcBorders>
            <w:shd w:val="clear" w:color="auto" w:fill="auto"/>
            <w:noWrap/>
            <w:vAlign w:val="center"/>
            <w:hideMark/>
          </w:tcPr>
          <w:p w14:paraId="6E21CBD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1,0</w:t>
            </w:r>
          </w:p>
        </w:tc>
        <w:tc>
          <w:tcPr>
            <w:tcW w:w="831" w:type="dxa"/>
            <w:tcBorders>
              <w:top w:val="single" w:sz="8" w:space="0" w:color="BFBFBF"/>
              <w:left w:val="nil"/>
              <w:bottom w:val="single" w:sz="8" w:space="0" w:color="BFBFBF"/>
              <w:right w:val="nil"/>
            </w:tcBorders>
            <w:shd w:val="clear" w:color="auto" w:fill="auto"/>
            <w:noWrap/>
            <w:vAlign w:val="center"/>
            <w:hideMark/>
          </w:tcPr>
          <w:p w14:paraId="2195C01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0,5</w:t>
            </w:r>
          </w:p>
        </w:tc>
      </w:tr>
      <w:tr w:rsidR="003139ED" w:rsidRPr="00B80EC9" w14:paraId="19654560"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0268F33A"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2012</w:t>
            </w:r>
          </w:p>
        </w:tc>
        <w:tc>
          <w:tcPr>
            <w:tcW w:w="1418" w:type="dxa"/>
            <w:tcBorders>
              <w:top w:val="single" w:sz="8" w:space="0" w:color="BFBFBF"/>
              <w:left w:val="nil"/>
              <w:bottom w:val="single" w:sz="8" w:space="0" w:color="BFBFBF"/>
              <w:right w:val="nil"/>
            </w:tcBorders>
            <w:shd w:val="clear" w:color="auto" w:fill="auto"/>
            <w:noWrap/>
            <w:vAlign w:val="center"/>
            <w:hideMark/>
          </w:tcPr>
          <w:p w14:paraId="0F47B67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0,5</w:t>
            </w:r>
          </w:p>
        </w:tc>
        <w:tc>
          <w:tcPr>
            <w:tcW w:w="1134" w:type="dxa"/>
            <w:tcBorders>
              <w:top w:val="single" w:sz="8" w:space="0" w:color="BFBFBF"/>
              <w:left w:val="nil"/>
              <w:bottom w:val="single" w:sz="8" w:space="0" w:color="BFBFBF"/>
              <w:right w:val="nil"/>
            </w:tcBorders>
            <w:shd w:val="clear" w:color="auto" w:fill="auto"/>
            <w:noWrap/>
            <w:vAlign w:val="center"/>
            <w:hideMark/>
          </w:tcPr>
          <w:p w14:paraId="4D3098A7"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0,1</w:t>
            </w:r>
          </w:p>
        </w:tc>
        <w:tc>
          <w:tcPr>
            <w:tcW w:w="992" w:type="dxa"/>
            <w:tcBorders>
              <w:top w:val="single" w:sz="8" w:space="0" w:color="BFBFBF"/>
              <w:left w:val="nil"/>
              <w:bottom w:val="single" w:sz="8" w:space="0" w:color="BFBFBF"/>
              <w:right w:val="nil"/>
            </w:tcBorders>
            <w:shd w:val="clear" w:color="auto" w:fill="auto"/>
            <w:noWrap/>
            <w:vAlign w:val="center"/>
            <w:hideMark/>
          </w:tcPr>
          <w:p w14:paraId="5C5D14D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1,1</w:t>
            </w:r>
          </w:p>
        </w:tc>
        <w:tc>
          <w:tcPr>
            <w:tcW w:w="1134" w:type="dxa"/>
            <w:tcBorders>
              <w:top w:val="single" w:sz="8" w:space="0" w:color="BFBFBF"/>
              <w:left w:val="nil"/>
              <w:bottom w:val="single" w:sz="8" w:space="0" w:color="BFBFBF"/>
              <w:right w:val="nil"/>
            </w:tcBorders>
            <w:shd w:val="clear" w:color="auto" w:fill="auto"/>
            <w:noWrap/>
            <w:vAlign w:val="center"/>
            <w:hideMark/>
          </w:tcPr>
          <w:p w14:paraId="79F52B3B"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1,2</w:t>
            </w:r>
          </w:p>
        </w:tc>
        <w:tc>
          <w:tcPr>
            <w:tcW w:w="1134" w:type="dxa"/>
            <w:tcBorders>
              <w:top w:val="single" w:sz="8" w:space="0" w:color="BFBFBF"/>
              <w:left w:val="nil"/>
              <w:bottom w:val="single" w:sz="8" w:space="0" w:color="BFBFBF"/>
              <w:right w:val="nil"/>
            </w:tcBorders>
            <w:shd w:val="clear" w:color="auto" w:fill="auto"/>
            <w:noWrap/>
            <w:vAlign w:val="center"/>
            <w:hideMark/>
          </w:tcPr>
          <w:p w14:paraId="4D88804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0,6</w:t>
            </w:r>
          </w:p>
        </w:tc>
        <w:tc>
          <w:tcPr>
            <w:tcW w:w="1134" w:type="dxa"/>
            <w:tcBorders>
              <w:top w:val="single" w:sz="8" w:space="0" w:color="BFBFBF"/>
              <w:left w:val="nil"/>
              <w:bottom w:val="single" w:sz="8" w:space="0" w:color="BFBFBF"/>
              <w:right w:val="nil"/>
            </w:tcBorders>
            <w:shd w:val="clear" w:color="auto" w:fill="auto"/>
            <w:noWrap/>
            <w:vAlign w:val="center"/>
            <w:hideMark/>
          </w:tcPr>
          <w:p w14:paraId="08AEEC35"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1,1</w:t>
            </w:r>
          </w:p>
        </w:tc>
        <w:tc>
          <w:tcPr>
            <w:tcW w:w="1134" w:type="dxa"/>
            <w:tcBorders>
              <w:top w:val="single" w:sz="8" w:space="0" w:color="BFBFBF"/>
              <w:left w:val="nil"/>
              <w:bottom w:val="single" w:sz="8" w:space="0" w:color="BFBFBF"/>
              <w:right w:val="nil"/>
            </w:tcBorders>
            <w:shd w:val="clear" w:color="auto" w:fill="auto"/>
            <w:noWrap/>
            <w:vAlign w:val="center"/>
            <w:hideMark/>
          </w:tcPr>
          <w:p w14:paraId="39A865C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0,4</w:t>
            </w:r>
          </w:p>
        </w:tc>
        <w:tc>
          <w:tcPr>
            <w:tcW w:w="831" w:type="dxa"/>
            <w:tcBorders>
              <w:top w:val="single" w:sz="8" w:space="0" w:color="BFBFBF"/>
              <w:left w:val="nil"/>
              <w:bottom w:val="single" w:sz="8" w:space="0" w:color="BFBFBF"/>
              <w:right w:val="nil"/>
            </w:tcBorders>
            <w:shd w:val="clear" w:color="auto" w:fill="auto"/>
            <w:noWrap/>
            <w:vAlign w:val="center"/>
            <w:hideMark/>
          </w:tcPr>
          <w:p w14:paraId="0C544EF2"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0,2</w:t>
            </w:r>
          </w:p>
        </w:tc>
      </w:tr>
      <w:tr w:rsidR="003139ED" w:rsidRPr="00B80EC9" w14:paraId="315F2C34"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5D2334D6"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2013</w:t>
            </w:r>
          </w:p>
        </w:tc>
        <w:tc>
          <w:tcPr>
            <w:tcW w:w="1418" w:type="dxa"/>
            <w:tcBorders>
              <w:top w:val="single" w:sz="8" w:space="0" w:color="BFBFBF"/>
              <w:left w:val="nil"/>
              <w:bottom w:val="single" w:sz="8" w:space="0" w:color="BFBFBF"/>
              <w:right w:val="nil"/>
            </w:tcBorders>
            <w:shd w:val="clear" w:color="auto" w:fill="auto"/>
            <w:noWrap/>
            <w:vAlign w:val="center"/>
            <w:hideMark/>
          </w:tcPr>
          <w:p w14:paraId="2AAEE217"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-1,4</w:t>
            </w:r>
          </w:p>
        </w:tc>
        <w:tc>
          <w:tcPr>
            <w:tcW w:w="1134" w:type="dxa"/>
            <w:tcBorders>
              <w:top w:val="single" w:sz="8" w:space="0" w:color="BFBFBF"/>
              <w:left w:val="nil"/>
              <w:bottom w:val="single" w:sz="8" w:space="0" w:color="BFBFBF"/>
              <w:right w:val="nil"/>
            </w:tcBorders>
            <w:shd w:val="clear" w:color="auto" w:fill="auto"/>
            <w:noWrap/>
            <w:vAlign w:val="center"/>
            <w:hideMark/>
          </w:tcPr>
          <w:p w14:paraId="122458D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-2,5</w:t>
            </w:r>
          </w:p>
        </w:tc>
        <w:tc>
          <w:tcPr>
            <w:tcW w:w="992" w:type="dxa"/>
            <w:tcBorders>
              <w:top w:val="single" w:sz="8" w:space="0" w:color="BFBFBF"/>
              <w:left w:val="nil"/>
              <w:bottom w:val="single" w:sz="8" w:space="0" w:color="BFBFBF"/>
              <w:right w:val="nil"/>
            </w:tcBorders>
            <w:shd w:val="clear" w:color="auto" w:fill="auto"/>
            <w:noWrap/>
            <w:vAlign w:val="center"/>
            <w:hideMark/>
          </w:tcPr>
          <w:p w14:paraId="1771B4D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1,3</w:t>
            </w:r>
          </w:p>
        </w:tc>
        <w:tc>
          <w:tcPr>
            <w:tcW w:w="1134" w:type="dxa"/>
            <w:tcBorders>
              <w:top w:val="single" w:sz="8" w:space="0" w:color="BFBFBF"/>
              <w:left w:val="nil"/>
              <w:bottom w:val="single" w:sz="8" w:space="0" w:color="BFBFBF"/>
              <w:right w:val="nil"/>
            </w:tcBorders>
            <w:shd w:val="clear" w:color="auto" w:fill="auto"/>
            <w:noWrap/>
            <w:vAlign w:val="center"/>
            <w:hideMark/>
          </w:tcPr>
          <w:p w14:paraId="00341399"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2,0</w:t>
            </w:r>
          </w:p>
        </w:tc>
        <w:tc>
          <w:tcPr>
            <w:tcW w:w="1134" w:type="dxa"/>
            <w:tcBorders>
              <w:top w:val="single" w:sz="8" w:space="0" w:color="BFBFBF"/>
              <w:left w:val="nil"/>
              <w:bottom w:val="single" w:sz="8" w:space="0" w:color="BFBFBF"/>
              <w:right w:val="nil"/>
            </w:tcBorders>
            <w:shd w:val="clear" w:color="auto" w:fill="auto"/>
            <w:noWrap/>
            <w:vAlign w:val="center"/>
            <w:hideMark/>
          </w:tcPr>
          <w:p w14:paraId="68E0867B"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0,6</w:t>
            </w:r>
          </w:p>
        </w:tc>
        <w:tc>
          <w:tcPr>
            <w:tcW w:w="1134" w:type="dxa"/>
            <w:tcBorders>
              <w:top w:val="single" w:sz="8" w:space="0" w:color="BFBFBF"/>
              <w:left w:val="nil"/>
              <w:bottom w:val="single" w:sz="8" w:space="0" w:color="BFBFBF"/>
              <w:right w:val="nil"/>
            </w:tcBorders>
            <w:shd w:val="clear" w:color="auto" w:fill="auto"/>
            <w:noWrap/>
            <w:vAlign w:val="center"/>
            <w:hideMark/>
          </w:tcPr>
          <w:p w14:paraId="08941BD8"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0,0</w:t>
            </w:r>
          </w:p>
        </w:tc>
        <w:tc>
          <w:tcPr>
            <w:tcW w:w="1134" w:type="dxa"/>
            <w:tcBorders>
              <w:top w:val="single" w:sz="8" w:space="0" w:color="BFBFBF"/>
              <w:left w:val="nil"/>
              <w:bottom w:val="single" w:sz="8" w:space="0" w:color="BFBFBF"/>
              <w:right w:val="nil"/>
            </w:tcBorders>
            <w:shd w:val="clear" w:color="auto" w:fill="auto"/>
            <w:noWrap/>
            <w:vAlign w:val="center"/>
            <w:hideMark/>
          </w:tcPr>
          <w:p w14:paraId="34FCD25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0,3</w:t>
            </w:r>
          </w:p>
        </w:tc>
        <w:tc>
          <w:tcPr>
            <w:tcW w:w="831" w:type="dxa"/>
            <w:tcBorders>
              <w:top w:val="single" w:sz="8" w:space="0" w:color="BFBFBF"/>
              <w:left w:val="nil"/>
              <w:bottom w:val="single" w:sz="8" w:space="0" w:color="BFBFBF"/>
              <w:right w:val="nil"/>
            </w:tcBorders>
            <w:shd w:val="clear" w:color="auto" w:fill="auto"/>
            <w:noWrap/>
            <w:vAlign w:val="center"/>
            <w:hideMark/>
          </w:tcPr>
          <w:p w14:paraId="621DEEC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-0,3</w:t>
            </w:r>
          </w:p>
        </w:tc>
      </w:tr>
      <w:tr w:rsidR="003139ED" w:rsidRPr="00B80EC9" w14:paraId="4A152D97"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2B2F98CA"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2014</w:t>
            </w:r>
          </w:p>
        </w:tc>
        <w:tc>
          <w:tcPr>
            <w:tcW w:w="1418" w:type="dxa"/>
            <w:tcBorders>
              <w:top w:val="single" w:sz="8" w:space="0" w:color="BFBFBF"/>
              <w:left w:val="nil"/>
              <w:bottom w:val="single" w:sz="8" w:space="0" w:color="BFBFBF"/>
              <w:right w:val="nil"/>
            </w:tcBorders>
            <w:shd w:val="clear" w:color="auto" w:fill="auto"/>
            <w:noWrap/>
            <w:vAlign w:val="center"/>
            <w:hideMark/>
          </w:tcPr>
          <w:p w14:paraId="5C05455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0,2</w:t>
            </w:r>
          </w:p>
        </w:tc>
        <w:tc>
          <w:tcPr>
            <w:tcW w:w="1134" w:type="dxa"/>
            <w:tcBorders>
              <w:top w:val="single" w:sz="8" w:space="0" w:color="BFBFBF"/>
              <w:left w:val="nil"/>
              <w:bottom w:val="single" w:sz="8" w:space="0" w:color="BFBFBF"/>
              <w:right w:val="nil"/>
            </w:tcBorders>
            <w:shd w:val="clear" w:color="auto" w:fill="auto"/>
            <w:noWrap/>
            <w:vAlign w:val="center"/>
            <w:hideMark/>
          </w:tcPr>
          <w:p w14:paraId="5140F649"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-2,8</w:t>
            </w:r>
          </w:p>
        </w:tc>
        <w:tc>
          <w:tcPr>
            <w:tcW w:w="992" w:type="dxa"/>
            <w:tcBorders>
              <w:top w:val="single" w:sz="8" w:space="0" w:color="BFBFBF"/>
              <w:left w:val="nil"/>
              <w:bottom w:val="single" w:sz="8" w:space="0" w:color="BFBFBF"/>
              <w:right w:val="nil"/>
            </w:tcBorders>
            <w:shd w:val="clear" w:color="auto" w:fill="auto"/>
            <w:noWrap/>
            <w:vAlign w:val="center"/>
            <w:hideMark/>
          </w:tcPr>
          <w:p w14:paraId="443541C2"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1,7</w:t>
            </w:r>
          </w:p>
        </w:tc>
        <w:tc>
          <w:tcPr>
            <w:tcW w:w="1134" w:type="dxa"/>
            <w:tcBorders>
              <w:top w:val="single" w:sz="8" w:space="0" w:color="BFBFBF"/>
              <w:left w:val="nil"/>
              <w:bottom w:val="single" w:sz="8" w:space="0" w:color="BFBFBF"/>
              <w:right w:val="nil"/>
            </w:tcBorders>
            <w:shd w:val="clear" w:color="auto" w:fill="auto"/>
            <w:noWrap/>
            <w:vAlign w:val="center"/>
            <w:hideMark/>
          </w:tcPr>
          <w:p w14:paraId="4A28974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2,2</w:t>
            </w:r>
          </w:p>
        </w:tc>
        <w:tc>
          <w:tcPr>
            <w:tcW w:w="1134" w:type="dxa"/>
            <w:tcBorders>
              <w:top w:val="single" w:sz="8" w:space="0" w:color="BFBFBF"/>
              <w:left w:val="nil"/>
              <w:bottom w:val="single" w:sz="8" w:space="0" w:color="BFBFBF"/>
              <w:right w:val="nil"/>
            </w:tcBorders>
            <w:shd w:val="clear" w:color="auto" w:fill="auto"/>
            <w:noWrap/>
            <w:vAlign w:val="center"/>
            <w:hideMark/>
          </w:tcPr>
          <w:p w14:paraId="123F620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-0,3</w:t>
            </w:r>
          </w:p>
        </w:tc>
        <w:tc>
          <w:tcPr>
            <w:tcW w:w="1134" w:type="dxa"/>
            <w:tcBorders>
              <w:top w:val="single" w:sz="8" w:space="0" w:color="BFBFBF"/>
              <w:left w:val="nil"/>
              <w:bottom w:val="single" w:sz="8" w:space="0" w:color="BFBFBF"/>
              <w:right w:val="nil"/>
            </w:tcBorders>
            <w:shd w:val="clear" w:color="auto" w:fill="auto"/>
            <w:noWrap/>
            <w:vAlign w:val="center"/>
            <w:hideMark/>
          </w:tcPr>
          <w:p w14:paraId="24A11A23"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1,0</w:t>
            </w:r>
          </w:p>
        </w:tc>
        <w:tc>
          <w:tcPr>
            <w:tcW w:w="1134" w:type="dxa"/>
            <w:tcBorders>
              <w:top w:val="single" w:sz="8" w:space="0" w:color="BFBFBF"/>
              <w:left w:val="nil"/>
              <w:bottom w:val="single" w:sz="8" w:space="0" w:color="BFBFBF"/>
              <w:right w:val="nil"/>
            </w:tcBorders>
            <w:shd w:val="clear" w:color="auto" w:fill="auto"/>
            <w:noWrap/>
            <w:vAlign w:val="center"/>
            <w:hideMark/>
          </w:tcPr>
          <w:p w14:paraId="537477E5"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0,2</w:t>
            </w:r>
          </w:p>
        </w:tc>
        <w:tc>
          <w:tcPr>
            <w:tcW w:w="831" w:type="dxa"/>
            <w:tcBorders>
              <w:top w:val="single" w:sz="8" w:space="0" w:color="BFBFBF"/>
              <w:left w:val="nil"/>
              <w:bottom w:val="single" w:sz="8" w:space="0" w:color="BFBFBF"/>
              <w:right w:val="nil"/>
            </w:tcBorders>
            <w:shd w:val="clear" w:color="auto" w:fill="auto"/>
            <w:noWrap/>
            <w:vAlign w:val="center"/>
            <w:hideMark/>
          </w:tcPr>
          <w:p w14:paraId="36287B7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0,8</w:t>
            </w:r>
          </w:p>
        </w:tc>
      </w:tr>
      <w:tr w:rsidR="003139ED" w:rsidRPr="00B80EC9" w14:paraId="343CDA9E"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2982DDE3"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2015</w:t>
            </w:r>
          </w:p>
        </w:tc>
        <w:tc>
          <w:tcPr>
            <w:tcW w:w="1418" w:type="dxa"/>
            <w:tcBorders>
              <w:top w:val="single" w:sz="8" w:space="0" w:color="BFBFBF"/>
              <w:left w:val="nil"/>
              <w:bottom w:val="single" w:sz="8" w:space="0" w:color="BFBFBF"/>
              <w:right w:val="nil"/>
            </w:tcBorders>
            <w:shd w:val="clear" w:color="auto" w:fill="auto"/>
            <w:noWrap/>
            <w:vAlign w:val="center"/>
            <w:hideMark/>
          </w:tcPr>
          <w:p w14:paraId="1C8713C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2,1</w:t>
            </w:r>
          </w:p>
        </w:tc>
        <w:tc>
          <w:tcPr>
            <w:tcW w:w="1134" w:type="dxa"/>
            <w:tcBorders>
              <w:top w:val="single" w:sz="8" w:space="0" w:color="BFBFBF"/>
              <w:left w:val="nil"/>
              <w:bottom w:val="single" w:sz="8" w:space="0" w:color="BFBFBF"/>
              <w:right w:val="nil"/>
            </w:tcBorders>
            <w:shd w:val="clear" w:color="auto" w:fill="auto"/>
            <w:noWrap/>
            <w:vAlign w:val="center"/>
            <w:hideMark/>
          </w:tcPr>
          <w:p w14:paraId="050D6EC4"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-0,8</w:t>
            </w:r>
          </w:p>
        </w:tc>
        <w:tc>
          <w:tcPr>
            <w:tcW w:w="992" w:type="dxa"/>
            <w:tcBorders>
              <w:top w:val="single" w:sz="8" w:space="0" w:color="BFBFBF"/>
              <w:left w:val="nil"/>
              <w:bottom w:val="single" w:sz="8" w:space="0" w:color="BFBFBF"/>
              <w:right w:val="nil"/>
            </w:tcBorders>
            <w:shd w:val="clear" w:color="auto" w:fill="auto"/>
            <w:noWrap/>
            <w:vAlign w:val="center"/>
            <w:hideMark/>
          </w:tcPr>
          <w:p w14:paraId="6F5F09A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1,1</w:t>
            </w:r>
          </w:p>
        </w:tc>
        <w:tc>
          <w:tcPr>
            <w:tcW w:w="1134" w:type="dxa"/>
            <w:tcBorders>
              <w:top w:val="single" w:sz="8" w:space="0" w:color="BFBFBF"/>
              <w:left w:val="nil"/>
              <w:bottom w:val="single" w:sz="8" w:space="0" w:color="BFBFBF"/>
              <w:right w:val="nil"/>
            </w:tcBorders>
            <w:shd w:val="clear" w:color="auto" w:fill="auto"/>
            <w:noWrap/>
            <w:vAlign w:val="center"/>
            <w:hideMark/>
          </w:tcPr>
          <w:p w14:paraId="2C022B34"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4,0</w:t>
            </w:r>
          </w:p>
        </w:tc>
        <w:tc>
          <w:tcPr>
            <w:tcW w:w="1134" w:type="dxa"/>
            <w:tcBorders>
              <w:top w:val="single" w:sz="8" w:space="0" w:color="BFBFBF"/>
              <w:left w:val="nil"/>
              <w:bottom w:val="single" w:sz="8" w:space="0" w:color="BFBFBF"/>
              <w:right w:val="nil"/>
            </w:tcBorders>
            <w:shd w:val="clear" w:color="auto" w:fill="auto"/>
            <w:noWrap/>
            <w:vAlign w:val="center"/>
            <w:hideMark/>
          </w:tcPr>
          <w:p w14:paraId="6A403424"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-0,3</w:t>
            </w:r>
          </w:p>
        </w:tc>
        <w:tc>
          <w:tcPr>
            <w:tcW w:w="1134" w:type="dxa"/>
            <w:tcBorders>
              <w:top w:val="single" w:sz="8" w:space="0" w:color="BFBFBF"/>
              <w:left w:val="nil"/>
              <w:bottom w:val="single" w:sz="8" w:space="0" w:color="BFBFBF"/>
              <w:right w:val="nil"/>
            </w:tcBorders>
            <w:shd w:val="clear" w:color="auto" w:fill="auto"/>
            <w:noWrap/>
            <w:vAlign w:val="center"/>
            <w:hideMark/>
          </w:tcPr>
          <w:p w14:paraId="3C1D498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0,9</w:t>
            </w:r>
          </w:p>
        </w:tc>
        <w:tc>
          <w:tcPr>
            <w:tcW w:w="1134" w:type="dxa"/>
            <w:tcBorders>
              <w:top w:val="single" w:sz="8" w:space="0" w:color="BFBFBF"/>
              <w:left w:val="nil"/>
              <w:bottom w:val="single" w:sz="8" w:space="0" w:color="BFBFBF"/>
              <w:right w:val="nil"/>
            </w:tcBorders>
            <w:shd w:val="clear" w:color="auto" w:fill="auto"/>
            <w:noWrap/>
            <w:vAlign w:val="center"/>
            <w:hideMark/>
          </w:tcPr>
          <w:p w14:paraId="4A99C07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0,0</w:t>
            </w:r>
          </w:p>
        </w:tc>
        <w:tc>
          <w:tcPr>
            <w:tcW w:w="831" w:type="dxa"/>
            <w:tcBorders>
              <w:top w:val="single" w:sz="8" w:space="0" w:color="BFBFBF"/>
              <w:left w:val="nil"/>
              <w:bottom w:val="single" w:sz="8" w:space="0" w:color="BFBFBF"/>
              <w:right w:val="nil"/>
            </w:tcBorders>
            <w:shd w:val="clear" w:color="auto" w:fill="auto"/>
            <w:noWrap/>
            <w:vAlign w:val="center"/>
            <w:hideMark/>
          </w:tcPr>
          <w:p w14:paraId="07787C15"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1,7</w:t>
            </w:r>
          </w:p>
        </w:tc>
      </w:tr>
      <w:tr w:rsidR="003139ED" w:rsidRPr="00B80EC9" w14:paraId="6D9BF124"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1D9BA097"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2016</w:t>
            </w:r>
          </w:p>
        </w:tc>
        <w:tc>
          <w:tcPr>
            <w:tcW w:w="1418" w:type="dxa"/>
            <w:tcBorders>
              <w:top w:val="single" w:sz="8" w:space="0" w:color="BFBFBF"/>
              <w:left w:val="nil"/>
              <w:bottom w:val="single" w:sz="8" w:space="0" w:color="BFBFBF"/>
              <w:right w:val="nil"/>
            </w:tcBorders>
            <w:shd w:val="clear" w:color="auto" w:fill="auto"/>
            <w:noWrap/>
            <w:vAlign w:val="center"/>
            <w:hideMark/>
          </w:tcPr>
          <w:p w14:paraId="766C756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2,8</w:t>
            </w:r>
          </w:p>
        </w:tc>
        <w:tc>
          <w:tcPr>
            <w:tcW w:w="1134" w:type="dxa"/>
            <w:tcBorders>
              <w:top w:val="single" w:sz="8" w:space="0" w:color="BFBFBF"/>
              <w:left w:val="nil"/>
              <w:bottom w:val="single" w:sz="8" w:space="0" w:color="BFBFBF"/>
              <w:right w:val="nil"/>
            </w:tcBorders>
            <w:shd w:val="clear" w:color="auto" w:fill="auto"/>
            <w:noWrap/>
            <w:vAlign w:val="center"/>
            <w:hideMark/>
          </w:tcPr>
          <w:p w14:paraId="39DFF0BE"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1,1</w:t>
            </w:r>
          </w:p>
        </w:tc>
        <w:tc>
          <w:tcPr>
            <w:tcW w:w="992" w:type="dxa"/>
            <w:tcBorders>
              <w:top w:val="single" w:sz="8" w:space="0" w:color="BFBFBF"/>
              <w:left w:val="nil"/>
              <w:bottom w:val="single" w:sz="8" w:space="0" w:color="BFBFBF"/>
              <w:right w:val="nil"/>
            </w:tcBorders>
            <w:shd w:val="clear" w:color="auto" w:fill="auto"/>
            <w:noWrap/>
            <w:vAlign w:val="center"/>
            <w:hideMark/>
          </w:tcPr>
          <w:p w14:paraId="5F236F14"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4,4</w:t>
            </w:r>
          </w:p>
        </w:tc>
        <w:tc>
          <w:tcPr>
            <w:tcW w:w="1134" w:type="dxa"/>
            <w:tcBorders>
              <w:top w:val="single" w:sz="8" w:space="0" w:color="BFBFBF"/>
              <w:left w:val="nil"/>
              <w:bottom w:val="single" w:sz="8" w:space="0" w:color="BFBFBF"/>
              <w:right w:val="nil"/>
            </w:tcBorders>
            <w:shd w:val="clear" w:color="auto" w:fill="auto"/>
            <w:noWrap/>
            <w:vAlign w:val="center"/>
            <w:hideMark/>
          </w:tcPr>
          <w:p w14:paraId="6D694C19"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2,8</w:t>
            </w:r>
          </w:p>
        </w:tc>
        <w:tc>
          <w:tcPr>
            <w:tcW w:w="1134" w:type="dxa"/>
            <w:tcBorders>
              <w:top w:val="single" w:sz="8" w:space="0" w:color="BFBFBF"/>
              <w:left w:val="nil"/>
              <w:bottom w:val="single" w:sz="8" w:space="0" w:color="BFBFBF"/>
              <w:right w:val="nil"/>
            </w:tcBorders>
            <w:shd w:val="clear" w:color="auto" w:fill="auto"/>
            <w:noWrap/>
            <w:vAlign w:val="center"/>
            <w:hideMark/>
          </w:tcPr>
          <w:p w14:paraId="7B99424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0,5</w:t>
            </w:r>
          </w:p>
        </w:tc>
        <w:tc>
          <w:tcPr>
            <w:tcW w:w="1134" w:type="dxa"/>
            <w:tcBorders>
              <w:top w:val="single" w:sz="8" w:space="0" w:color="BFBFBF"/>
              <w:left w:val="nil"/>
              <w:bottom w:val="single" w:sz="8" w:space="0" w:color="BFBFBF"/>
              <w:right w:val="nil"/>
            </w:tcBorders>
            <w:shd w:val="clear" w:color="auto" w:fill="auto"/>
            <w:noWrap/>
            <w:vAlign w:val="center"/>
            <w:hideMark/>
          </w:tcPr>
          <w:p w14:paraId="418FBC7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1,0</w:t>
            </w:r>
          </w:p>
        </w:tc>
        <w:tc>
          <w:tcPr>
            <w:tcW w:w="1134" w:type="dxa"/>
            <w:tcBorders>
              <w:top w:val="single" w:sz="8" w:space="0" w:color="BFBFBF"/>
              <w:left w:val="nil"/>
              <w:bottom w:val="single" w:sz="8" w:space="0" w:color="BFBFBF"/>
              <w:right w:val="nil"/>
            </w:tcBorders>
            <w:shd w:val="clear" w:color="auto" w:fill="auto"/>
            <w:noWrap/>
            <w:vAlign w:val="center"/>
            <w:hideMark/>
          </w:tcPr>
          <w:p w14:paraId="423DD6A8"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0,5</w:t>
            </w:r>
          </w:p>
        </w:tc>
        <w:tc>
          <w:tcPr>
            <w:tcW w:w="831" w:type="dxa"/>
            <w:tcBorders>
              <w:top w:val="single" w:sz="8" w:space="0" w:color="BFBFBF"/>
              <w:left w:val="nil"/>
              <w:bottom w:val="single" w:sz="8" w:space="0" w:color="BFBFBF"/>
              <w:right w:val="nil"/>
            </w:tcBorders>
            <w:shd w:val="clear" w:color="auto" w:fill="auto"/>
            <w:noWrap/>
            <w:vAlign w:val="center"/>
            <w:hideMark/>
          </w:tcPr>
          <w:p w14:paraId="5960B21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0,0</w:t>
            </w:r>
          </w:p>
        </w:tc>
      </w:tr>
      <w:tr w:rsidR="003139ED" w:rsidRPr="00B80EC9" w14:paraId="3C574FD2"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127EF069"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2017</w:t>
            </w:r>
          </w:p>
        </w:tc>
        <w:tc>
          <w:tcPr>
            <w:tcW w:w="1418" w:type="dxa"/>
            <w:tcBorders>
              <w:top w:val="single" w:sz="8" w:space="0" w:color="BFBFBF"/>
              <w:left w:val="nil"/>
              <w:bottom w:val="single" w:sz="8" w:space="0" w:color="BFBFBF"/>
              <w:right w:val="nil"/>
            </w:tcBorders>
            <w:shd w:val="clear" w:color="auto" w:fill="auto"/>
            <w:noWrap/>
            <w:vAlign w:val="center"/>
            <w:hideMark/>
          </w:tcPr>
          <w:p w14:paraId="2AD9A93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5,8</w:t>
            </w:r>
          </w:p>
        </w:tc>
        <w:tc>
          <w:tcPr>
            <w:tcW w:w="1134" w:type="dxa"/>
            <w:tcBorders>
              <w:top w:val="single" w:sz="8" w:space="0" w:color="BFBFBF"/>
              <w:left w:val="nil"/>
              <w:bottom w:val="single" w:sz="8" w:space="0" w:color="BFBFBF"/>
              <w:right w:val="nil"/>
            </w:tcBorders>
            <w:shd w:val="clear" w:color="auto" w:fill="auto"/>
            <w:noWrap/>
            <w:vAlign w:val="center"/>
            <w:hideMark/>
          </w:tcPr>
          <w:p w14:paraId="7B3D57E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2,9</w:t>
            </w:r>
          </w:p>
        </w:tc>
        <w:tc>
          <w:tcPr>
            <w:tcW w:w="992" w:type="dxa"/>
            <w:tcBorders>
              <w:top w:val="single" w:sz="8" w:space="0" w:color="BFBFBF"/>
              <w:left w:val="nil"/>
              <w:bottom w:val="single" w:sz="8" w:space="0" w:color="BFBFBF"/>
              <w:right w:val="nil"/>
            </w:tcBorders>
            <w:shd w:val="clear" w:color="auto" w:fill="auto"/>
            <w:noWrap/>
            <w:vAlign w:val="center"/>
            <w:hideMark/>
          </w:tcPr>
          <w:p w14:paraId="7B6135B7"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3,9</w:t>
            </w:r>
          </w:p>
        </w:tc>
        <w:tc>
          <w:tcPr>
            <w:tcW w:w="1134" w:type="dxa"/>
            <w:tcBorders>
              <w:top w:val="single" w:sz="8" w:space="0" w:color="BFBFBF"/>
              <w:left w:val="nil"/>
              <w:bottom w:val="single" w:sz="8" w:space="0" w:color="BFBFBF"/>
              <w:right w:val="nil"/>
            </w:tcBorders>
            <w:shd w:val="clear" w:color="auto" w:fill="auto"/>
            <w:noWrap/>
            <w:vAlign w:val="center"/>
            <w:hideMark/>
          </w:tcPr>
          <w:p w14:paraId="5B56ABB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4,1</w:t>
            </w:r>
          </w:p>
        </w:tc>
        <w:tc>
          <w:tcPr>
            <w:tcW w:w="1134" w:type="dxa"/>
            <w:tcBorders>
              <w:top w:val="single" w:sz="8" w:space="0" w:color="BFBFBF"/>
              <w:left w:val="nil"/>
              <w:bottom w:val="single" w:sz="8" w:space="0" w:color="BFBFBF"/>
              <w:right w:val="nil"/>
            </w:tcBorders>
            <w:shd w:val="clear" w:color="auto" w:fill="auto"/>
            <w:noWrap/>
            <w:vAlign w:val="center"/>
            <w:hideMark/>
          </w:tcPr>
          <w:p w14:paraId="270727AF"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0,8</w:t>
            </w:r>
          </w:p>
        </w:tc>
        <w:tc>
          <w:tcPr>
            <w:tcW w:w="1134" w:type="dxa"/>
            <w:tcBorders>
              <w:top w:val="single" w:sz="8" w:space="0" w:color="BFBFBF"/>
              <w:left w:val="nil"/>
              <w:bottom w:val="single" w:sz="8" w:space="0" w:color="BFBFBF"/>
              <w:right w:val="nil"/>
            </w:tcBorders>
            <w:shd w:val="clear" w:color="auto" w:fill="auto"/>
            <w:noWrap/>
            <w:vAlign w:val="center"/>
            <w:hideMark/>
          </w:tcPr>
          <w:p w14:paraId="588A3CF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1,2</w:t>
            </w:r>
          </w:p>
        </w:tc>
        <w:tc>
          <w:tcPr>
            <w:tcW w:w="1134" w:type="dxa"/>
            <w:tcBorders>
              <w:top w:val="single" w:sz="8" w:space="0" w:color="BFBFBF"/>
              <w:left w:val="nil"/>
              <w:bottom w:val="single" w:sz="8" w:space="0" w:color="BFBFBF"/>
              <w:right w:val="nil"/>
            </w:tcBorders>
            <w:shd w:val="clear" w:color="auto" w:fill="auto"/>
            <w:noWrap/>
            <w:vAlign w:val="center"/>
            <w:hideMark/>
          </w:tcPr>
          <w:p w14:paraId="4A529CA3"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0,9</w:t>
            </w:r>
          </w:p>
        </w:tc>
        <w:tc>
          <w:tcPr>
            <w:tcW w:w="831" w:type="dxa"/>
            <w:tcBorders>
              <w:top w:val="single" w:sz="8" w:space="0" w:color="BFBFBF"/>
              <w:left w:val="nil"/>
              <w:bottom w:val="single" w:sz="8" w:space="0" w:color="BFBFBF"/>
              <w:right w:val="nil"/>
            </w:tcBorders>
            <w:shd w:val="clear" w:color="auto" w:fill="auto"/>
            <w:noWrap/>
            <w:vAlign w:val="center"/>
            <w:hideMark/>
          </w:tcPr>
          <w:p w14:paraId="5E4FF42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1,4</w:t>
            </w:r>
          </w:p>
        </w:tc>
      </w:tr>
      <w:tr w:rsidR="003139ED" w:rsidRPr="00B80EC9" w14:paraId="4EEFB919"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7C9DED39"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2018</w:t>
            </w:r>
          </w:p>
        </w:tc>
        <w:tc>
          <w:tcPr>
            <w:tcW w:w="1418" w:type="dxa"/>
            <w:tcBorders>
              <w:top w:val="single" w:sz="8" w:space="0" w:color="BFBFBF"/>
              <w:left w:val="nil"/>
              <w:bottom w:val="single" w:sz="8" w:space="0" w:color="BFBFBF"/>
              <w:right w:val="nil"/>
            </w:tcBorders>
            <w:shd w:val="clear" w:color="auto" w:fill="auto"/>
            <w:noWrap/>
            <w:vAlign w:val="center"/>
            <w:hideMark/>
          </w:tcPr>
          <w:p w14:paraId="51A29DEA"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5,4</w:t>
            </w:r>
          </w:p>
        </w:tc>
        <w:tc>
          <w:tcPr>
            <w:tcW w:w="1134" w:type="dxa"/>
            <w:tcBorders>
              <w:top w:val="single" w:sz="8" w:space="0" w:color="BFBFBF"/>
              <w:left w:val="nil"/>
              <w:bottom w:val="single" w:sz="8" w:space="0" w:color="BFBFBF"/>
              <w:right w:val="nil"/>
            </w:tcBorders>
            <w:shd w:val="clear" w:color="auto" w:fill="auto"/>
            <w:noWrap/>
            <w:vAlign w:val="center"/>
            <w:hideMark/>
          </w:tcPr>
          <w:p w14:paraId="6690FDB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1,6</w:t>
            </w:r>
          </w:p>
        </w:tc>
        <w:tc>
          <w:tcPr>
            <w:tcW w:w="992" w:type="dxa"/>
            <w:tcBorders>
              <w:top w:val="single" w:sz="8" w:space="0" w:color="BFBFBF"/>
              <w:left w:val="nil"/>
              <w:bottom w:val="single" w:sz="8" w:space="0" w:color="BFBFBF"/>
              <w:right w:val="nil"/>
            </w:tcBorders>
            <w:shd w:val="clear" w:color="auto" w:fill="auto"/>
            <w:noWrap/>
            <w:vAlign w:val="center"/>
            <w:hideMark/>
          </w:tcPr>
          <w:p w14:paraId="63630C6E"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6,8</w:t>
            </w:r>
          </w:p>
        </w:tc>
        <w:tc>
          <w:tcPr>
            <w:tcW w:w="1134" w:type="dxa"/>
            <w:tcBorders>
              <w:top w:val="single" w:sz="8" w:space="0" w:color="BFBFBF"/>
              <w:left w:val="nil"/>
              <w:bottom w:val="single" w:sz="8" w:space="0" w:color="BFBFBF"/>
              <w:right w:val="nil"/>
            </w:tcBorders>
            <w:shd w:val="clear" w:color="auto" w:fill="auto"/>
            <w:noWrap/>
            <w:vAlign w:val="center"/>
            <w:hideMark/>
          </w:tcPr>
          <w:p w14:paraId="69E0D0D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3,7</w:t>
            </w:r>
          </w:p>
        </w:tc>
        <w:tc>
          <w:tcPr>
            <w:tcW w:w="1134" w:type="dxa"/>
            <w:tcBorders>
              <w:top w:val="single" w:sz="8" w:space="0" w:color="BFBFBF"/>
              <w:left w:val="nil"/>
              <w:bottom w:val="single" w:sz="8" w:space="0" w:color="BFBFBF"/>
              <w:right w:val="nil"/>
            </w:tcBorders>
            <w:shd w:val="clear" w:color="auto" w:fill="auto"/>
            <w:noWrap/>
            <w:vAlign w:val="center"/>
            <w:hideMark/>
          </w:tcPr>
          <w:p w14:paraId="70B7E19A"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1,2</w:t>
            </w:r>
          </w:p>
        </w:tc>
        <w:tc>
          <w:tcPr>
            <w:tcW w:w="1134" w:type="dxa"/>
            <w:tcBorders>
              <w:top w:val="single" w:sz="8" w:space="0" w:color="BFBFBF"/>
              <w:left w:val="nil"/>
              <w:bottom w:val="single" w:sz="8" w:space="0" w:color="BFBFBF"/>
              <w:right w:val="nil"/>
            </w:tcBorders>
            <w:shd w:val="clear" w:color="auto" w:fill="auto"/>
            <w:noWrap/>
            <w:vAlign w:val="center"/>
            <w:hideMark/>
          </w:tcPr>
          <w:p w14:paraId="5956BE90"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1,2</w:t>
            </w:r>
          </w:p>
        </w:tc>
        <w:tc>
          <w:tcPr>
            <w:tcW w:w="1134" w:type="dxa"/>
            <w:tcBorders>
              <w:top w:val="single" w:sz="8" w:space="0" w:color="BFBFBF"/>
              <w:left w:val="nil"/>
              <w:bottom w:val="single" w:sz="8" w:space="0" w:color="BFBFBF"/>
              <w:right w:val="nil"/>
            </w:tcBorders>
            <w:shd w:val="clear" w:color="auto" w:fill="auto"/>
            <w:noWrap/>
            <w:vAlign w:val="center"/>
            <w:hideMark/>
          </w:tcPr>
          <w:p w14:paraId="6FD9909F"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1,2</w:t>
            </w:r>
          </w:p>
        </w:tc>
        <w:tc>
          <w:tcPr>
            <w:tcW w:w="831" w:type="dxa"/>
            <w:tcBorders>
              <w:top w:val="single" w:sz="8" w:space="0" w:color="BFBFBF"/>
              <w:left w:val="nil"/>
              <w:bottom w:val="single" w:sz="8" w:space="0" w:color="BFBFBF"/>
              <w:right w:val="nil"/>
            </w:tcBorders>
            <w:shd w:val="clear" w:color="auto" w:fill="auto"/>
            <w:noWrap/>
            <w:vAlign w:val="center"/>
            <w:hideMark/>
          </w:tcPr>
          <w:p w14:paraId="088E1CB3"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0,9</w:t>
            </w:r>
          </w:p>
        </w:tc>
      </w:tr>
      <w:tr w:rsidR="003139ED" w:rsidRPr="00B80EC9" w14:paraId="313F4187"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5D9CC527"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2019</w:t>
            </w:r>
          </w:p>
        </w:tc>
        <w:tc>
          <w:tcPr>
            <w:tcW w:w="1418" w:type="dxa"/>
            <w:tcBorders>
              <w:top w:val="single" w:sz="8" w:space="0" w:color="BFBFBF"/>
              <w:left w:val="nil"/>
              <w:bottom w:val="single" w:sz="8" w:space="0" w:color="BFBFBF"/>
              <w:right w:val="nil"/>
            </w:tcBorders>
            <w:shd w:val="clear" w:color="auto" w:fill="auto"/>
            <w:noWrap/>
            <w:vAlign w:val="center"/>
            <w:hideMark/>
          </w:tcPr>
          <w:p w14:paraId="62445789"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2,3</w:t>
            </w:r>
          </w:p>
        </w:tc>
        <w:tc>
          <w:tcPr>
            <w:tcW w:w="1134" w:type="dxa"/>
            <w:tcBorders>
              <w:top w:val="single" w:sz="8" w:space="0" w:color="BFBFBF"/>
              <w:left w:val="nil"/>
              <w:bottom w:val="single" w:sz="8" w:space="0" w:color="BFBFBF"/>
              <w:right w:val="nil"/>
            </w:tcBorders>
            <w:shd w:val="clear" w:color="auto" w:fill="auto"/>
            <w:noWrap/>
            <w:vAlign w:val="center"/>
            <w:hideMark/>
          </w:tcPr>
          <w:p w14:paraId="72DF11F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0,4</w:t>
            </w:r>
          </w:p>
        </w:tc>
        <w:tc>
          <w:tcPr>
            <w:tcW w:w="992" w:type="dxa"/>
            <w:tcBorders>
              <w:top w:val="single" w:sz="8" w:space="0" w:color="BFBFBF"/>
              <w:left w:val="nil"/>
              <w:bottom w:val="single" w:sz="8" w:space="0" w:color="BFBFBF"/>
              <w:right w:val="nil"/>
            </w:tcBorders>
            <w:shd w:val="clear" w:color="auto" w:fill="auto"/>
            <w:noWrap/>
            <w:vAlign w:val="center"/>
            <w:hideMark/>
          </w:tcPr>
          <w:p w14:paraId="72C0F97C"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5,2</w:t>
            </w:r>
          </w:p>
        </w:tc>
        <w:tc>
          <w:tcPr>
            <w:tcW w:w="1134" w:type="dxa"/>
            <w:tcBorders>
              <w:top w:val="single" w:sz="8" w:space="0" w:color="BFBFBF"/>
              <w:left w:val="nil"/>
              <w:bottom w:val="single" w:sz="8" w:space="0" w:color="BFBFBF"/>
              <w:right w:val="nil"/>
            </w:tcBorders>
            <w:shd w:val="clear" w:color="auto" w:fill="auto"/>
            <w:noWrap/>
            <w:vAlign w:val="center"/>
            <w:hideMark/>
          </w:tcPr>
          <w:p w14:paraId="702FF245"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4,0</w:t>
            </w:r>
          </w:p>
        </w:tc>
        <w:tc>
          <w:tcPr>
            <w:tcW w:w="1134" w:type="dxa"/>
            <w:tcBorders>
              <w:top w:val="single" w:sz="8" w:space="0" w:color="BFBFBF"/>
              <w:left w:val="nil"/>
              <w:bottom w:val="single" w:sz="8" w:space="0" w:color="BFBFBF"/>
              <w:right w:val="nil"/>
            </w:tcBorders>
            <w:shd w:val="clear" w:color="auto" w:fill="auto"/>
            <w:noWrap/>
            <w:vAlign w:val="center"/>
            <w:hideMark/>
          </w:tcPr>
          <w:p w14:paraId="7A6E346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1,1</w:t>
            </w:r>
          </w:p>
        </w:tc>
        <w:tc>
          <w:tcPr>
            <w:tcW w:w="1134" w:type="dxa"/>
            <w:tcBorders>
              <w:top w:val="single" w:sz="8" w:space="0" w:color="BFBFBF"/>
              <w:left w:val="nil"/>
              <w:bottom w:val="single" w:sz="8" w:space="0" w:color="BFBFBF"/>
              <w:right w:val="nil"/>
            </w:tcBorders>
            <w:shd w:val="clear" w:color="auto" w:fill="auto"/>
            <w:noWrap/>
            <w:vAlign w:val="center"/>
            <w:hideMark/>
          </w:tcPr>
          <w:p w14:paraId="70DC5C0E"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0,8</w:t>
            </w:r>
          </w:p>
        </w:tc>
        <w:tc>
          <w:tcPr>
            <w:tcW w:w="1134" w:type="dxa"/>
            <w:tcBorders>
              <w:top w:val="single" w:sz="8" w:space="0" w:color="BFBFBF"/>
              <w:left w:val="nil"/>
              <w:bottom w:val="single" w:sz="8" w:space="0" w:color="BFBFBF"/>
              <w:right w:val="nil"/>
            </w:tcBorders>
            <w:shd w:val="clear" w:color="auto" w:fill="auto"/>
            <w:noWrap/>
            <w:vAlign w:val="center"/>
            <w:hideMark/>
          </w:tcPr>
          <w:p w14:paraId="50C477CD"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0,6</w:t>
            </w:r>
          </w:p>
        </w:tc>
        <w:tc>
          <w:tcPr>
            <w:tcW w:w="831" w:type="dxa"/>
            <w:tcBorders>
              <w:top w:val="single" w:sz="8" w:space="0" w:color="BFBFBF"/>
              <w:left w:val="nil"/>
              <w:bottom w:val="single" w:sz="8" w:space="0" w:color="BFBFBF"/>
              <w:right w:val="nil"/>
            </w:tcBorders>
            <w:shd w:val="clear" w:color="auto" w:fill="auto"/>
            <w:noWrap/>
            <w:vAlign w:val="center"/>
            <w:hideMark/>
          </w:tcPr>
          <w:p w14:paraId="1C34D0E9"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1,4</w:t>
            </w:r>
          </w:p>
        </w:tc>
      </w:tr>
      <w:tr w:rsidR="003139ED" w:rsidRPr="00B80EC9" w14:paraId="4F34012B" w14:textId="77777777" w:rsidTr="005F7A56">
        <w:trPr>
          <w:trHeight w:val="510"/>
        </w:trPr>
        <w:tc>
          <w:tcPr>
            <w:tcW w:w="1129" w:type="dxa"/>
            <w:tcBorders>
              <w:top w:val="single" w:sz="8" w:space="0" w:color="FFFFFF" w:themeColor="background1"/>
              <w:left w:val="nil"/>
              <w:bottom w:val="single" w:sz="8" w:space="0" w:color="FFFFFF" w:themeColor="background1"/>
              <w:right w:val="nil"/>
            </w:tcBorders>
            <w:shd w:val="clear" w:color="auto" w:fill="D9D9D9" w:themeFill="background1" w:themeFillShade="D9"/>
            <w:noWrap/>
            <w:vAlign w:val="center"/>
            <w:hideMark/>
          </w:tcPr>
          <w:p w14:paraId="62C1AB70" w14:textId="77777777" w:rsidR="00EA4DDE" w:rsidRPr="00B80EC9" w:rsidRDefault="00EA4DDE" w:rsidP="00B80EC9">
            <w:pPr>
              <w:spacing w:after="0" w:line="240" w:lineRule="auto"/>
              <w:jc w:val="center"/>
              <w:rPr>
                <w:rFonts w:asciiTheme="majorHAnsi" w:eastAsia="Times New Roman" w:hAnsiTheme="majorHAnsi" w:cs="Calibri"/>
                <w:color w:val="000000"/>
                <w:sz w:val="20"/>
                <w:szCs w:val="20"/>
                <w:lang w:eastAsia="cs-CZ"/>
              </w:rPr>
            </w:pPr>
            <w:r w:rsidRPr="00B80EC9">
              <w:rPr>
                <w:rFonts w:asciiTheme="majorHAnsi" w:eastAsia="Times New Roman" w:hAnsiTheme="majorHAnsi" w:cs="Calibri"/>
                <w:color w:val="000000"/>
                <w:sz w:val="20"/>
                <w:szCs w:val="20"/>
                <w:lang w:eastAsia="cs-CZ"/>
              </w:rPr>
              <w:t>2020</w:t>
            </w:r>
          </w:p>
        </w:tc>
        <w:tc>
          <w:tcPr>
            <w:tcW w:w="1418" w:type="dxa"/>
            <w:tcBorders>
              <w:top w:val="single" w:sz="8" w:space="0" w:color="BFBFBF"/>
              <w:left w:val="nil"/>
              <w:bottom w:val="single" w:sz="8" w:space="0" w:color="BFBFBF"/>
              <w:right w:val="nil"/>
            </w:tcBorders>
            <w:shd w:val="clear" w:color="auto" w:fill="auto"/>
            <w:noWrap/>
            <w:vAlign w:val="center"/>
            <w:hideMark/>
          </w:tcPr>
          <w:p w14:paraId="3ADAC7E5"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-3,0</w:t>
            </w:r>
          </w:p>
        </w:tc>
        <w:tc>
          <w:tcPr>
            <w:tcW w:w="1134" w:type="dxa"/>
            <w:tcBorders>
              <w:top w:val="single" w:sz="8" w:space="0" w:color="BFBFBF"/>
              <w:left w:val="nil"/>
              <w:bottom w:val="single" w:sz="8" w:space="0" w:color="BFBFBF"/>
              <w:right w:val="nil"/>
            </w:tcBorders>
            <w:shd w:val="clear" w:color="auto" w:fill="auto"/>
            <w:noWrap/>
            <w:vAlign w:val="center"/>
            <w:hideMark/>
          </w:tcPr>
          <w:p w14:paraId="76337EB8"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0,8</w:t>
            </w:r>
          </w:p>
        </w:tc>
        <w:tc>
          <w:tcPr>
            <w:tcW w:w="992" w:type="dxa"/>
            <w:tcBorders>
              <w:top w:val="single" w:sz="8" w:space="0" w:color="BFBFBF"/>
              <w:left w:val="nil"/>
              <w:bottom w:val="single" w:sz="8" w:space="0" w:color="BFBFBF"/>
              <w:right w:val="nil"/>
            </w:tcBorders>
            <w:shd w:val="clear" w:color="auto" w:fill="auto"/>
            <w:noWrap/>
            <w:vAlign w:val="center"/>
            <w:hideMark/>
          </w:tcPr>
          <w:p w14:paraId="30915394"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-0,1</w:t>
            </w:r>
          </w:p>
        </w:tc>
        <w:tc>
          <w:tcPr>
            <w:tcW w:w="1134" w:type="dxa"/>
            <w:tcBorders>
              <w:top w:val="single" w:sz="8" w:space="0" w:color="BFBFBF"/>
              <w:left w:val="nil"/>
              <w:bottom w:val="single" w:sz="8" w:space="0" w:color="BFBFBF"/>
              <w:right w:val="nil"/>
            </w:tcBorders>
            <w:shd w:val="clear" w:color="auto" w:fill="auto"/>
            <w:noWrap/>
            <w:vAlign w:val="center"/>
            <w:hideMark/>
          </w:tcPr>
          <w:p w14:paraId="52401C9F"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-1,7</w:t>
            </w:r>
          </w:p>
        </w:tc>
        <w:tc>
          <w:tcPr>
            <w:tcW w:w="1134" w:type="dxa"/>
            <w:tcBorders>
              <w:top w:val="single" w:sz="8" w:space="0" w:color="BFBFBF"/>
              <w:left w:val="nil"/>
              <w:bottom w:val="single" w:sz="8" w:space="0" w:color="BFBFBF"/>
              <w:right w:val="nil"/>
            </w:tcBorders>
            <w:shd w:val="clear" w:color="auto" w:fill="auto"/>
            <w:noWrap/>
            <w:vAlign w:val="center"/>
            <w:hideMark/>
          </w:tcPr>
          <w:p w14:paraId="0096E10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-0,8</w:t>
            </w:r>
          </w:p>
        </w:tc>
        <w:tc>
          <w:tcPr>
            <w:tcW w:w="1134" w:type="dxa"/>
            <w:tcBorders>
              <w:top w:val="single" w:sz="8" w:space="0" w:color="BFBFBF"/>
              <w:left w:val="nil"/>
              <w:bottom w:val="single" w:sz="8" w:space="0" w:color="BFBFBF"/>
              <w:right w:val="nil"/>
            </w:tcBorders>
            <w:shd w:val="clear" w:color="auto" w:fill="auto"/>
            <w:noWrap/>
            <w:vAlign w:val="center"/>
            <w:hideMark/>
          </w:tcPr>
          <w:p w14:paraId="37434DD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-3,3</w:t>
            </w:r>
          </w:p>
        </w:tc>
        <w:tc>
          <w:tcPr>
            <w:tcW w:w="1134" w:type="dxa"/>
            <w:tcBorders>
              <w:top w:val="single" w:sz="8" w:space="0" w:color="BFBFBF"/>
              <w:left w:val="nil"/>
              <w:bottom w:val="single" w:sz="8" w:space="0" w:color="BFBFBF"/>
              <w:right w:val="nil"/>
            </w:tcBorders>
            <w:shd w:val="clear" w:color="auto" w:fill="auto"/>
            <w:noWrap/>
            <w:vAlign w:val="center"/>
            <w:hideMark/>
          </w:tcPr>
          <w:p w14:paraId="2C0D0BF7"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-0,7</w:t>
            </w:r>
          </w:p>
        </w:tc>
        <w:tc>
          <w:tcPr>
            <w:tcW w:w="831" w:type="dxa"/>
            <w:tcBorders>
              <w:top w:val="single" w:sz="8" w:space="0" w:color="BFBFBF"/>
              <w:left w:val="nil"/>
              <w:bottom w:val="single" w:sz="8" w:space="0" w:color="BFBFBF"/>
              <w:right w:val="nil"/>
            </w:tcBorders>
            <w:shd w:val="clear" w:color="auto" w:fill="auto"/>
            <w:noWrap/>
            <w:vAlign w:val="center"/>
            <w:hideMark/>
          </w:tcPr>
          <w:p w14:paraId="0B90DB26"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3,0</w:t>
            </w:r>
          </w:p>
        </w:tc>
      </w:tr>
      <w:tr w:rsidR="003139ED" w:rsidRPr="00B80EC9" w14:paraId="0315814D" w14:textId="77777777" w:rsidTr="005F7A56">
        <w:trPr>
          <w:trHeight w:val="510"/>
        </w:trPr>
        <w:tc>
          <w:tcPr>
            <w:tcW w:w="1129" w:type="dxa"/>
            <w:tcBorders>
              <w:top w:val="single" w:sz="8" w:space="0" w:color="FFFFFF" w:themeColor="background1"/>
              <w:left w:val="nil"/>
              <w:bottom w:val="single" w:sz="8" w:space="0" w:color="BFBFBF"/>
              <w:right w:val="nil"/>
            </w:tcBorders>
            <w:shd w:val="clear" w:color="auto" w:fill="D9D9D9" w:themeFill="background1" w:themeFillShade="D9"/>
            <w:noWrap/>
            <w:vAlign w:val="center"/>
            <w:hideMark/>
          </w:tcPr>
          <w:p w14:paraId="191DA996" w14:textId="77777777" w:rsidR="00EA4DDE" w:rsidRPr="00B80EC9" w:rsidRDefault="00EA4DDE" w:rsidP="00B80EC9">
            <w:pPr>
              <w:spacing w:after="0" w:line="240" w:lineRule="auto"/>
              <w:jc w:val="center"/>
              <w:rPr>
                <w:rFonts w:asciiTheme="majorHAnsi" w:eastAsia="Times New Roman" w:hAnsiTheme="majorHAnsi" w:cs="Calibri"/>
                <w:b/>
                <w:bCs/>
                <w:color w:val="000000"/>
                <w:sz w:val="20"/>
                <w:szCs w:val="20"/>
                <w:lang w:eastAsia="cs-CZ"/>
              </w:rPr>
            </w:pPr>
            <w:r w:rsidRPr="00B80EC9">
              <w:rPr>
                <w:rFonts w:asciiTheme="majorHAnsi" w:eastAsia="Times New Roman" w:hAnsiTheme="majorHAnsi" w:cs="Calibri"/>
                <w:b/>
                <w:bCs/>
                <w:color w:val="000000"/>
                <w:sz w:val="20"/>
                <w:szCs w:val="20"/>
                <w:lang w:eastAsia="cs-CZ"/>
              </w:rPr>
              <w:t>2011-2020</w:t>
            </w:r>
          </w:p>
        </w:tc>
        <w:tc>
          <w:tcPr>
            <w:tcW w:w="1418" w:type="dxa"/>
            <w:tcBorders>
              <w:top w:val="single" w:sz="8" w:space="0" w:color="BFBFBF"/>
              <w:left w:val="nil"/>
              <w:bottom w:val="single" w:sz="8" w:space="0" w:color="BFBFBF"/>
              <w:right w:val="nil"/>
            </w:tcBorders>
            <w:shd w:val="clear" w:color="auto" w:fill="auto"/>
            <w:noWrap/>
            <w:vAlign w:val="center"/>
            <w:hideMark/>
          </w:tcPr>
          <w:p w14:paraId="21FFA69A"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1,8</w:t>
            </w:r>
          </w:p>
        </w:tc>
        <w:tc>
          <w:tcPr>
            <w:tcW w:w="1134" w:type="dxa"/>
            <w:tcBorders>
              <w:top w:val="single" w:sz="8" w:space="0" w:color="BFBFBF"/>
              <w:left w:val="nil"/>
              <w:bottom w:val="single" w:sz="8" w:space="0" w:color="BFBFBF"/>
              <w:right w:val="nil"/>
            </w:tcBorders>
            <w:shd w:val="clear" w:color="auto" w:fill="auto"/>
            <w:noWrap/>
            <w:vAlign w:val="center"/>
            <w:hideMark/>
          </w:tcPr>
          <w:p w14:paraId="67A723E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0,3</w:t>
            </w:r>
          </w:p>
        </w:tc>
        <w:tc>
          <w:tcPr>
            <w:tcW w:w="992" w:type="dxa"/>
            <w:tcBorders>
              <w:top w:val="single" w:sz="8" w:space="0" w:color="BFBFBF"/>
              <w:left w:val="nil"/>
              <w:bottom w:val="single" w:sz="8" w:space="0" w:color="BFBFBF"/>
              <w:right w:val="nil"/>
            </w:tcBorders>
            <w:shd w:val="clear" w:color="auto" w:fill="auto"/>
            <w:noWrap/>
            <w:vAlign w:val="center"/>
            <w:hideMark/>
          </w:tcPr>
          <w:p w14:paraId="121868F3"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2,7</w:t>
            </w:r>
          </w:p>
        </w:tc>
        <w:tc>
          <w:tcPr>
            <w:tcW w:w="1134" w:type="dxa"/>
            <w:tcBorders>
              <w:top w:val="single" w:sz="8" w:space="0" w:color="BFBFBF"/>
              <w:left w:val="nil"/>
              <w:bottom w:val="single" w:sz="8" w:space="0" w:color="BFBFBF"/>
              <w:right w:val="nil"/>
            </w:tcBorders>
            <w:shd w:val="clear" w:color="auto" w:fill="auto"/>
            <w:noWrap/>
            <w:vAlign w:val="center"/>
            <w:hideMark/>
          </w:tcPr>
          <w:p w14:paraId="4D7EEF91"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2,3</w:t>
            </w:r>
          </w:p>
        </w:tc>
        <w:tc>
          <w:tcPr>
            <w:tcW w:w="1134" w:type="dxa"/>
            <w:tcBorders>
              <w:top w:val="single" w:sz="8" w:space="0" w:color="BFBFBF"/>
              <w:left w:val="nil"/>
              <w:bottom w:val="single" w:sz="8" w:space="0" w:color="BFBFBF"/>
              <w:right w:val="nil"/>
            </w:tcBorders>
            <w:shd w:val="clear" w:color="auto" w:fill="auto"/>
            <w:noWrap/>
            <w:vAlign w:val="center"/>
            <w:hideMark/>
          </w:tcPr>
          <w:p w14:paraId="19B97DD9"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0,4</w:t>
            </w:r>
          </w:p>
        </w:tc>
        <w:tc>
          <w:tcPr>
            <w:tcW w:w="1134" w:type="dxa"/>
            <w:tcBorders>
              <w:top w:val="single" w:sz="8" w:space="0" w:color="BFBFBF"/>
              <w:left w:val="nil"/>
              <w:bottom w:val="single" w:sz="8" w:space="0" w:color="BFBFBF"/>
              <w:right w:val="nil"/>
            </w:tcBorders>
            <w:shd w:val="clear" w:color="auto" w:fill="auto"/>
            <w:noWrap/>
            <w:vAlign w:val="center"/>
            <w:hideMark/>
          </w:tcPr>
          <w:p w14:paraId="7C1D9E15"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0,6</w:t>
            </w:r>
          </w:p>
        </w:tc>
        <w:tc>
          <w:tcPr>
            <w:tcW w:w="1134" w:type="dxa"/>
            <w:tcBorders>
              <w:top w:val="single" w:sz="8" w:space="0" w:color="BFBFBF"/>
              <w:left w:val="nil"/>
              <w:bottom w:val="single" w:sz="8" w:space="0" w:color="BFBFBF"/>
              <w:right w:val="nil"/>
            </w:tcBorders>
            <w:shd w:val="clear" w:color="auto" w:fill="auto"/>
            <w:noWrap/>
            <w:vAlign w:val="center"/>
            <w:hideMark/>
          </w:tcPr>
          <w:p w14:paraId="17468AEF"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0,4</w:t>
            </w:r>
          </w:p>
        </w:tc>
        <w:tc>
          <w:tcPr>
            <w:tcW w:w="831" w:type="dxa"/>
            <w:tcBorders>
              <w:top w:val="single" w:sz="8" w:space="0" w:color="BFBFBF"/>
              <w:left w:val="nil"/>
              <w:bottom w:val="single" w:sz="8" w:space="0" w:color="BFBFBF"/>
              <w:right w:val="nil"/>
            </w:tcBorders>
            <w:shd w:val="clear" w:color="auto" w:fill="auto"/>
            <w:noWrap/>
            <w:vAlign w:val="center"/>
            <w:hideMark/>
          </w:tcPr>
          <w:p w14:paraId="084CBDAE" w14:textId="77777777" w:rsidR="00EA4DDE" w:rsidRPr="00B80EC9" w:rsidRDefault="00EA4DDE" w:rsidP="00FE4EAD">
            <w:pPr>
              <w:spacing w:after="0" w:line="240" w:lineRule="auto"/>
              <w:jc w:val="center"/>
              <w:rPr>
                <w:sz w:val="20"/>
                <w:szCs w:val="20"/>
                <w:lang w:eastAsia="cs-CZ"/>
              </w:rPr>
            </w:pPr>
            <w:r w:rsidRPr="00B80EC9">
              <w:rPr>
                <w:sz w:val="20"/>
                <w:szCs w:val="20"/>
                <w:lang w:eastAsia="cs-CZ"/>
              </w:rPr>
              <w:t>1,0</w:t>
            </w:r>
          </w:p>
        </w:tc>
      </w:tr>
    </w:tbl>
    <w:p w14:paraId="4B09EE6A" w14:textId="4CC77ABC" w:rsidR="003139ED" w:rsidRPr="00B80EC9" w:rsidRDefault="00190DC1" w:rsidP="00B80EC9">
      <w:pPr>
        <w:pStyle w:val="Podnadpis"/>
        <w:spacing w:after="0" w:line="240" w:lineRule="auto"/>
        <w:rPr>
          <w:sz w:val="20"/>
          <w:szCs w:val="20"/>
        </w:rPr>
      </w:pPr>
      <w:r w:rsidRPr="00B80EC9">
        <w:rPr>
          <w:sz w:val="20"/>
          <w:szCs w:val="20"/>
        </w:rPr>
        <w:br/>
      </w:r>
      <w:r w:rsidR="003139ED" w:rsidRPr="00B80EC9">
        <w:rPr>
          <w:sz w:val="20"/>
          <w:szCs w:val="20"/>
        </w:rPr>
        <w:t xml:space="preserve">Zdroj: </w:t>
      </w:r>
      <w:proofErr w:type="spellStart"/>
      <w:r w:rsidR="003139ED" w:rsidRPr="00B80EC9">
        <w:rPr>
          <w:sz w:val="20"/>
          <w:szCs w:val="20"/>
        </w:rPr>
        <w:t>European</w:t>
      </w:r>
      <w:proofErr w:type="spellEnd"/>
      <w:r w:rsidR="003139ED" w:rsidRPr="00B80EC9">
        <w:rPr>
          <w:sz w:val="20"/>
          <w:szCs w:val="20"/>
        </w:rPr>
        <w:t xml:space="preserve"> </w:t>
      </w:r>
      <w:proofErr w:type="spellStart"/>
      <w:r w:rsidR="003139ED" w:rsidRPr="00B80EC9">
        <w:rPr>
          <w:sz w:val="20"/>
          <w:szCs w:val="20"/>
        </w:rPr>
        <w:t>Comission</w:t>
      </w:r>
      <w:proofErr w:type="spellEnd"/>
      <w:r w:rsidR="003139ED" w:rsidRPr="00B80EC9">
        <w:rPr>
          <w:sz w:val="20"/>
          <w:szCs w:val="20"/>
        </w:rPr>
        <w:t xml:space="preserve">, </w:t>
      </w:r>
      <w:r w:rsidR="003139ED" w:rsidRPr="00B80EC9">
        <w:rPr>
          <w:sz w:val="20"/>
          <w:szCs w:val="20"/>
        </w:rPr>
        <w:br/>
      </w:r>
      <w:hyperlink r:id="rId9" w:history="1">
        <w:r w:rsidRPr="00B80EC9">
          <w:rPr>
            <w:rStyle w:val="Hypertextovodkaz"/>
            <w:sz w:val="20"/>
            <w:szCs w:val="20"/>
          </w:rPr>
          <w:t>https://ec.europa.eu/info/sites/default/files/economy-finance/saee_autumn_2020.pdf</w:t>
        </w:r>
      </w:hyperlink>
      <w:r w:rsidR="003139ED" w:rsidRPr="00B80EC9">
        <w:rPr>
          <w:sz w:val="20"/>
          <w:szCs w:val="20"/>
        </w:rPr>
        <w:t xml:space="preserve"> </w:t>
      </w:r>
    </w:p>
    <w:p w14:paraId="29A0AB19" w14:textId="598C9A25" w:rsidR="006E1584" w:rsidRPr="00B80EC9" w:rsidRDefault="00B066E0" w:rsidP="00B80EC9">
      <w:pPr>
        <w:spacing w:after="0" w:line="240" w:lineRule="auto"/>
        <w:jc w:val="both"/>
        <w:rPr>
          <w:sz w:val="20"/>
          <w:szCs w:val="20"/>
        </w:rPr>
      </w:pPr>
      <w:r w:rsidRPr="00B80EC9">
        <w:rPr>
          <w:noProof/>
          <w:sz w:val="20"/>
          <w:szCs w:val="20"/>
          <w:lang w:eastAsia="cs-CZ"/>
        </w:rPr>
        <w:br w:type="page"/>
      </w:r>
      <w:r w:rsidR="006E1584" w:rsidRPr="00B80EC9">
        <w:rPr>
          <w:sz w:val="20"/>
          <w:szCs w:val="20"/>
        </w:rPr>
        <w:lastRenderedPageBreak/>
        <w:t xml:space="preserve">Druhou stranou mince ke změnám průměrné hrubé mzdy jsou disponibilní příjmy, které představují příjmy jednotlivce očištěné </w:t>
      </w:r>
      <w:r w:rsidR="00C139C7">
        <w:rPr>
          <w:sz w:val="20"/>
          <w:szCs w:val="20"/>
        </w:rPr>
        <w:br/>
      </w:r>
      <w:r w:rsidR="006E1584" w:rsidRPr="00B80EC9">
        <w:rPr>
          <w:sz w:val="20"/>
          <w:szCs w:val="20"/>
        </w:rPr>
        <w:t xml:space="preserve">o daně a další odvody, jež musí zaměstnanci platit. </w:t>
      </w:r>
      <w:r w:rsidR="006E1584" w:rsidRPr="00B80EC9">
        <w:rPr>
          <w:b/>
          <w:sz w:val="20"/>
          <w:szCs w:val="20"/>
        </w:rPr>
        <w:t xml:space="preserve">V České republice vzrostl za posledních deset let čistý disponibilní příjem </w:t>
      </w:r>
      <w:r w:rsidR="00C139C7">
        <w:rPr>
          <w:b/>
          <w:sz w:val="20"/>
          <w:szCs w:val="20"/>
        </w:rPr>
        <w:br/>
      </w:r>
      <w:r w:rsidR="006E1584" w:rsidRPr="00B80EC9">
        <w:rPr>
          <w:b/>
          <w:sz w:val="20"/>
          <w:szCs w:val="20"/>
        </w:rPr>
        <w:t>o 29,8 %, což je výrazně nad průměrem zemí eurozóny (16,1 %)</w:t>
      </w:r>
      <w:r w:rsidR="006E1584" w:rsidRPr="00B80EC9">
        <w:rPr>
          <w:sz w:val="20"/>
          <w:szCs w:val="20"/>
        </w:rPr>
        <w:t xml:space="preserve">. Mnohem více než Češi si však přilepšili obyvatelé Polska, kterým za poslední dekádu vzrostl čistý disponibilní příjem o téměř 60 %. Podobně rychlé tempo zaznamenali také Maďaři. Naopak </w:t>
      </w:r>
      <w:r w:rsidR="00C139C7">
        <w:rPr>
          <w:sz w:val="20"/>
          <w:szCs w:val="20"/>
        </w:rPr>
        <w:br/>
      </w:r>
      <w:r w:rsidR="006E1584" w:rsidRPr="00B80EC9">
        <w:rPr>
          <w:sz w:val="20"/>
          <w:szCs w:val="20"/>
        </w:rPr>
        <w:t xml:space="preserve">na Slovensku byl růst čistého disponibilního příjmu dokonce pod průměrem eurozóny a dosáhl jen 10,3 %, což odpovídá tempu růstu o 1 % </w:t>
      </w:r>
      <w:proofErr w:type="spellStart"/>
      <w:r w:rsidR="006E1584" w:rsidRPr="00B80EC9">
        <w:rPr>
          <w:sz w:val="20"/>
          <w:szCs w:val="20"/>
        </w:rPr>
        <w:t>p.a</w:t>
      </w:r>
      <w:proofErr w:type="spellEnd"/>
      <w:r w:rsidR="006E1584" w:rsidRPr="00B80EC9">
        <w:rPr>
          <w:sz w:val="20"/>
          <w:szCs w:val="20"/>
        </w:rPr>
        <w:t>.</w:t>
      </w:r>
    </w:p>
    <w:p w14:paraId="1BBC6C85" w14:textId="73A078E8" w:rsidR="00190DC1" w:rsidRDefault="00190DC1" w:rsidP="00B80EC9">
      <w:pPr>
        <w:spacing w:after="0" w:line="240" w:lineRule="auto"/>
        <w:rPr>
          <w:sz w:val="20"/>
          <w:szCs w:val="20"/>
        </w:rPr>
      </w:pPr>
    </w:p>
    <w:p w14:paraId="6E4B4D7F" w14:textId="77777777" w:rsidR="00C139C7" w:rsidRPr="00B80EC9" w:rsidRDefault="00C139C7" w:rsidP="00B80EC9">
      <w:pPr>
        <w:spacing w:after="0" w:line="240" w:lineRule="auto"/>
        <w:rPr>
          <w:sz w:val="20"/>
          <w:szCs w:val="20"/>
        </w:rPr>
      </w:pPr>
    </w:p>
    <w:p w14:paraId="5940695B" w14:textId="77777777" w:rsidR="00190DC1" w:rsidRPr="00B80EC9" w:rsidRDefault="00190DC1" w:rsidP="00B80EC9">
      <w:pPr>
        <w:pStyle w:val="Nadpis2"/>
        <w:spacing w:before="0" w:line="240" w:lineRule="auto"/>
        <w:rPr>
          <w:sz w:val="20"/>
          <w:szCs w:val="20"/>
        </w:rPr>
      </w:pPr>
      <w:r w:rsidRPr="00B80EC9">
        <w:rPr>
          <w:noProof/>
          <w:sz w:val="20"/>
          <w:szCs w:val="20"/>
          <w:lang w:eastAsia="cs-CZ"/>
        </w:rPr>
        <w:drawing>
          <wp:inline distT="0" distB="0" distL="0" distR="0" wp14:anchorId="1716B947" wp14:editId="2F3732B1">
            <wp:extent cx="6623685" cy="2843027"/>
            <wp:effectExtent l="0" t="0" r="5715" b="0"/>
            <wp:docPr id="2" name="Graf 2">
              <a:extLst xmlns:a="http://schemas.openxmlformats.org/drawingml/2006/main">
                <a:ext uri="{FF2B5EF4-FFF2-40B4-BE49-F238E27FC236}">
                  <a16:creationId xmlns:a16="http://schemas.microsoft.com/office/drawing/2014/main" id="{32AE4F5D-D5E1-4C4E-8E1D-C5187A142E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15A9EF" w14:textId="77777777" w:rsidR="00F87BC7" w:rsidRPr="00B80EC9" w:rsidRDefault="00F87BC7" w:rsidP="00B80EC9">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 xml:space="preserve">Zdroj: </w:t>
      </w:r>
      <w:proofErr w:type="spellStart"/>
      <w:r w:rsidRPr="00B80EC9">
        <w:rPr>
          <w:rFonts w:eastAsiaTheme="minorEastAsia"/>
          <w:color w:val="5A5A5A" w:themeColor="text1" w:themeTint="A5"/>
          <w:spacing w:val="15"/>
          <w:sz w:val="20"/>
          <w:szCs w:val="20"/>
        </w:rPr>
        <w:t>Eurostat</w:t>
      </w:r>
      <w:proofErr w:type="spellEnd"/>
    </w:p>
    <w:p w14:paraId="60F32BBC" w14:textId="0C85A1E0" w:rsidR="00B066E0" w:rsidRDefault="00B066E0" w:rsidP="00B80EC9">
      <w:pPr>
        <w:spacing w:after="0" w:line="240" w:lineRule="auto"/>
        <w:rPr>
          <w:sz w:val="20"/>
          <w:szCs w:val="20"/>
        </w:rPr>
      </w:pPr>
    </w:p>
    <w:p w14:paraId="7D9FBF73" w14:textId="77777777" w:rsidR="00C857EB" w:rsidRPr="00B80EC9" w:rsidRDefault="00C857EB" w:rsidP="00B80EC9">
      <w:pPr>
        <w:spacing w:after="0" w:line="240" w:lineRule="auto"/>
        <w:rPr>
          <w:sz w:val="20"/>
          <w:szCs w:val="20"/>
        </w:rPr>
      </w:pPr>
    </w:p>
    <w:p w14:paraId="6EF8FB75" w14:textId="0B9CF5D6" w:rsidR="006E1584" w:rsidRPr="00C857EB" w:rsidRDefault="006E1584" w:rsidP="00B80EC9">
      <w:pPr>
        <w:pStyle w:val="Nadpis3"/>
        <w:spacing w:before="0" w:line="240" w:lineRule="auto"/>
        <w:rPr>
          <w:b/>
          <w:bCs/>
          <w:szCs w:val="22"/>
        </w:rPr>
      </w:pPr>
      <w:r w:rsidRPr="00C857EB">
        <w:rPr>
          <w:b/>
          <w:bCs/>
          <w:szCs w:val="22"/>
        </w:rPr>
        <w:t>Nevedeme si vůbec špatně</w:t>
      </w:r>
    </w:p>
    <w:p w14:paraId="511195FC" w14:textId="053A76B1" w:rsidR="006E1584" w:rsidRDefault="006E1584" w:rsidP="00B80EC9">
      <w:pPr>
        <w:spacing w:after="0" w:line="240" w:lineRule="auto"/>
        <w:jc w:val="both"/>
        <w:rPr>
          <w:sz w:val="20"/>
          <w:szCs w:val="20"/>
        </w:rPr>
      </w:pPr>
      <w:r w:rsidRPr="00B80EC9">
        <w:rPr>
          <w:sz w:val="20"/>
          <w:szCs w:val="20"/>
        </w:rPr>
        <w:t>Bohatství domácností se částečně odvíjí od mezd, ale přestože jim mohou přilepšit, nejsou tím, co bohatství tvoří. To je totiž tvořeno všemi aktivy, které jednotlivci vlastní – jako je hodnota nemovitostí, finanční aktiva, spoření a další. Dle ukazatele celkového čistého jmění si ve srovnání se sousedními státy nevedeme vůbec špatně, dokonce jsme bohatší než většina zemí střední a východní Evropy. Nicméně oproti západním zemím lze vidět markantní rozdíl v celkovém čistém jmění domácností – ve srovnání s nejbližšími sousedy Rakouskem a Německem však není tak výrazný jako v případě Spojených států nebo Švýcarska, kde je rozdíl v bohatství oproti Česku více než čtyřnásobný.</w:t>
      </w:r>
    </w:p>
    <w:p w14:paraId="2EE80E30" w14:textId="77777777" w:rsidR="00C857EB" w:rsidRPr="00B80EC9" w:rsidRDefault="00C857EB" w:rsidP="00B80EC9">
      <w:pPr>
        <w:spacing w:after="0" w:line="240" w:lineRule="auto"/>
        <w:jc w:val="both"/>
        <w:rPr>
          <w:sz w:val="20"/>
          <w:szCs w:val="20"/>
        </w:rPr>
      </w:pPr>
    </w:p>
    <w:p w14:paraId="08A555BD" w14:textId="7518015F" w:rsidR="00F87BC7" w:rsidRPr="00B80EC9" w:rsidRDefault="00F87BC7" w:rsidP="00B80EC9">
      <w:pPr>
        <w:spacing w:after="0" w:line="240" w:lineRule="auto"/>
        <w:jc w:val="both"/>
        <w:rPr>
          <w:sz w:val="20"/>
          <w:szCs w:val="20"/>
        </w:rPr>
      </w:pPr>
      <w:r w:rsidRPr="00B80EC9">
        <w:rPr>
          <w:noProof/>
          <w:sz w:val="20"/>
          <w:szCs w:val="20"/>
          <w:lang w:eastAsia="cs-CZ"/>
        </w:rPr>
        <w:drawing>
          <wp:inline distT="0" distB="0" distL="0" distR="0" wp14:anchorId="53AA842E" wp14:editId="5D217F55">
            <wp:extent cx="6624000" cy="2916000"/>
            <wp:effectExtent l="0" t="0" r="5715" b="0"/>
            <wp:docPr id="3" name="Graf 3">
              <a:extLst xmlns:a="http://schemas.openxmlformats.org/drawingml/2006/main">
                <a:ext uri="{FF2B5EF4-FFF2-40B4-BE49-F238E27FC236}">
                  <a16:creationId xmlns:a16="http://schemas.microsoft.com/office/drawing/2014/main" id="{48B18C94-CE13-455E-B061-FF88110E73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F98350" w14:textId="71A4F3B2" w:rsidR="00F87BC7" w:rsidRPr="00B80EC9" w:rsidRDefault="00F87BC7" w:rsidP="00B80EC9">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Zdroj: OECD</w:t>
      </w:r>
    </w:p>
    <w:p w14:paraId="00E1311F" w14:textId="77777777" w:rsidR="00C857EB" w:rsidRDefault="00C857EB" w:rsidP="00B80EC9">
      <w:pPr>
        <w:spacing w:after="0" w:line="240" w:lineRule="auto"/>
        <w:jc w:val="both"/>
        <w:rPr>
          <w:sz w:val="20"/>
          <w:szCs w:val="20"/>
        </w:rPr>
      </w:pPr>
    </w:p>
    <w:p w14:paraId="015519F0" w14:textId="77777777" w:rsidR="00C857EB" w:rsidRDefault="00C857EB" w:rsidP="00B80EC9">
      <w:pPr>
        <w:spacing w:after="0" w:line="240" w:lineRule="auto"/>
        <w:jc w:val="both"/>
        <w:rPr>
          <w:sz w:val="20"/>
          <w:szCs w:val="20"/>
        </w:rPr>
      </w:pPr>
    </w:p>
    <w:p w14:paraId="3989C320" w14:textId="77777777" w:rsidR="00C857EB" w:rsidRDefault="00C857EB" w:rsidP="00B80EC9">
      <w:pPr>
        <w:spacing w:after="0" w:line="240" w:lineRule="auto"/>
        <w:jc w:val="both"/>
        <w:rPr>
          <w:sz w:val="20"/>
          <w:szCs w:val="20"/>
        </w:rPr>
      </w:pPr>
    </w:p>
    <w:p w14:paraId="704DE025" w14:textId="175C7C05" w:rsidR="006E1584" w:rsidRPr="00B80EC9" w:rsidRDefault="006E1584" w:rsidP="00B80EC9">
      <w:pPr>
        <w:spacing w:after="0" w:line="240" w:lineRule="auto"/>
        <w:jc w:val="both"/>
        <w:rPr>
          <w:sz w:val="20"/>
          <w:szCs w:val="20"/>
        </w:rPr>
      </w:pPr>
      <w:r w:rsidRPr="00B80EC9">
        <w:rPr>
          <w:sz w:val="20"/>
          <w:szCs w:val="20"/>
        </w:rPr>
        <w:lastRenderedPageBreak/>
        <w:t>Na místě zůstává otázka, čím jsou tyto rozdíly způsobeny</w:t>
      </w:r>
      <w:r w:rsidR="00FE4EAD">
        <w:rPr>
          <w:sz w:val="20"/>
          <w:szCs w:val="20"/>
        </w:rPr>
        <w:t>?</w:t>
      </w:r>
      <w:r w:rsidRPr="00B80EC9">
        <w:rPr>
          <w:sz w:val="20"/>
          <w:szCs w:val="20"/>
        </w:rPr>
        <w:t xml:space="preserve"> Roli hraje několik faktorů, mezi kterými nesmíme opomenout relativní výhodu západních zemí v podobě tržního hospodářství po celou dobu moderní historie, což v případě obyvatel daných zemí znamená mnohem větší zkušenost s finančními nástroji a fungováním trhu. Zároveň tato skutečnost umožnila delší kumulaci bohatství, což v zemích střední a východní Evropy nebylo ve větší míře možné. </w:t>
      </w:r>
      <w:r w:rsidR="00C857EB">
        <w:rPr>
          <w:sz w:val="20"/>
          <w:szCs w:val="20"/>
        </w:rPr>
        <w:t xml:space="preserve"> </w:t>
      </w:r>
      <w:r w:rsidRPr="00B80EC9">
        <w:rPr>
          <w:sz w:val="20"/>
          <w:szCs w:val="20"/>
        </w:rPr>
        <w:t>Napříč uvedeným vzorkem zemí se liší také složení aktiv domácností. Finanční aktiva tvoří důležitou součást celkového bohatství domácností a jsou neopomenutelným zdrojem příjmů, a to buď prodejem těchto aktiv</w:t>
      </w:r>
      <w:r w:rsidR="00C857EB">
        <w:rPr>
          <w:sz w:val="20"/>
          <w:szCs w:val="20"/>
        </w:rPr>
        <w:t xml:space="preserve"> </w:t>
      </w:r>
      <w:r w:rsidRPr="00B80EC9">
        <w:rPr>
          <w:sz w:val="20"/>
          <w:szCs w:val="20"/>
        </w:rPr>
        <w:t xml:space="preserve">nebo ve formě úroků či dividend. Zároveň díky budování finančních aktiv dochází </w:t>
      </w:r>
      <w:r w:rsidR="00C857EB">
        <w:rPr>
          <w:sz w:val="20"/>
          <w:szCs w:val="20"/>
        </w:rPr>
        <w:br/>
      </w:r>
      <w:r w:rsidRPr="00B80EC9">
        <w:rPr>
          <w:sz w:val="20"/>
          <w:szCs w:val="20"/>
        </w:rPr>
        <w:t xml:space="preserve">ke zvyšování celkového bohatství a k přípravě na neproduktivní roky života, tedy stáří. </w:t>
      </w:r>
    </w:p>
    <w:p w14:paraId="171F9B2E" w14:textId="77777777" w:rsidR="00B066E0" w:rsidRPr="00B80EC9" w:rsidRDefault="00B066E0" w:rsidP="00B80EC9">
      <w:pPr>
        <w:spacing w:after="0" w:line="240" w:lineRule="auto"/>
        <w:rPr>
          <w:sz w:val="20"/>
          <w:szCs w:val="20"/>
        </w:rPr>
      </w:pPr>
    </w:p>
    <w:p w14:paraId="26DB24E8" w14:textId="16DD2B4D" w:rsidR="00B066E0" w:rsidRPr="00B80EC9" w:rsidRDefault="00B066E0" w:rsidP="00B80EC9">
      <w:pPr>
        <w:pStyle w:val="Nadpis3"/>
        <w:spacing w:before="0" w:line="240" w:lineRule="auto"/>
        <w:rPr>
          <w:sz w:val="20"/>
          <w:szCs w:val="20"/>
        </w:rPr>
      </w:pPr>
      <w:r w:rsidRPr="00B80EC9">
        <w:rPr>
          <w:noProof/>
          <w:sz w:val="20"/>
          <w:szCs w:val="20"/>
          <w:lang w:eastAsia="cs-CZ"/>
        </w:rPr>
        <w:drawing>
          <wp:inline distT="0" distB="0" distL="0" distR="0" wp14:anchorId="342A644C" wp14:editId="52B9DD96">
            <wp:extent cx="6660000" cy="6480000"/>
            <wp:effectExtent l="0" t="0" r="7620" b="0"/>
            <wp:docPr id="4" name="Graf 4">
              <a:extLst xmlns:a="http://schemas.openxmlformats.org/drawingml/2006/main">
                <a:ext uri="{FF2B5EF4-FFF2-40B4-BE49-F238E27FC236}">
                  <a16:creationId xmlns:a16="http://schemas.microsoft.com/office/drawing/2014/main" id="{6151085B-9AB2-42F6-B1FD-EDB347377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D2E823" w14:textId="5F206546" w:rsidR="00EB54F4" w:rsidRPr="00B80EC9" w:rsidRDefault="00EB54F4" w:rsidP="00B80EC9">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Zdroj: OECD</w:t>
      </w:r>
    </w:p>
    <w:p w14:paraId="48C3D191" w14:textId="4816BE37" w:rsidR="00F27A33" w:rsidRPr="00B80EC9" w:rsidRDefault="006F1487" w:rsidP="00B80EC9">
      <w:pPr>
        <w:tabs>
          <w:tab w:val="left" w:pos="2268"/>
        </w:tabs>
        <w:spacing w:after="0" w:line="240" w:lineRule="auto"/>
        <w:rPr>
          <w:sz w:val="20"/>
          <w:szCs w:val="20"/>
          <w:u w:val="single"/>
        </w:rPr>
      </w:pPr>
      <w:r w:rsidRPr="00B80EC9">
        <w:rPr>
          <w:noProof/>
          <w:sz w:val="20"/>
          <w:szCs w:val="20"/>
          <w:lang w:eastAsia="cs-CZ"/>
        </w:rPr>
        <w:br w:type="page"/>
      </w:r>
    </w:p>
    <w:p w14:paraId="6BF641B3" w14:textId="77777777" w:rsidR="006E1584" w:rsidRPr="00C857EB" w:rsidRDefault="006E1584" w:rsidP="00B80EC9">
      <w:pPr>
        <w:pStyle w:val="Nadpis3"/>
        <w:spacing w:before="0" w:line="240" w:lineRule="auto"/>
        <w:rPr>
          <w:b/>
          <w:bCs/>
          <w:szCs w:val="22"/>
        </w:rPr>
      </w:pPr>
      <w:r w:rsidRPr="00C857EB">
        <w:rPr>
          <w:b/>
          <w:bCs/>
          <w:szCs w:val="22"/>
        </w:rPr>
        <w:lastRenderedPageBreak/>
        <w:t>Máme rádi hotovost, je to správně?</w:t>
      </w:r>
    </w:p>
    <w:p w14:paraId="52A8DB05" w14:textId="5E896C47" w:rsidR="006E1584" w:rsidRDefault="006E1584" w:rsidP="00B80EC9">
      <w:pPr>
        <w:spacing w:after="0" w:line="240" w:lineRule="auto"/>
        <w:jc w:val="both"/>
        <w:rPr>
          <w:sz w:val="20"/>
          <w:szCs w:val="20"/>
        </w:rPr>
      </w:pPr>
      <w:r w:rsidRPr="00B80EC9">
        <w:rPr>
          <w:sz w:val="20"/>
          <w:szCs w:val="20"/>
        </w:rPr>
        <w:t>Češi jsou obecně známí svým velmi konzervativním přístupem a opatrností při nakládání s penězi, která se projevuje držením velkého objemu hotovosti na běžných účtech či nízkoúročených spoř</w:t>
      </w:r>
      <w:r w:rsidR="00C857EB">
        <w:rPr>
          <w:sz w:val="20"/>
          <w:szCs w:val="20"/>
        </w:rPr>
        <w:t>í</w:t>
      </w:r>
      <w:r w:rsidRPr="00B80EC9">
        <w:rPr>
          <w:sz w:val="20"/>
          <w:szCs w:val="20"/>
        </w:rPr>
        <w:t>cích účtech. Ve srovnání s bohatšími zeměmi je pak rozdíl markantní – například v USA je podíl hotovosti na celkových finančních aktivech jen necelých 13 %, ve Švýcarsku 32 %.</w:t>
      </w:r>
      <w:r w:rsidR="005C5BEB">
        <w:rPr>
          <w:sz w:val="20"/>
          <w:szCs w:val="20"/>
        </w:rPr>
        <w:t xml:space="preserve"> </w:t>
      </w:r>
      <w:r w:rsidRPr="00B80EC9">
        <w:rPr>
          <w:sz w:val="20"/>
          <w:szCs w:val="20"/>
        </w:rPr>
        <w:t xml:space="preserve">Co do držení hotovosti jsou v Evropě ještě konzervativnější země než Česká republika. Není asi překvapením, že to jsou také země bývalého východního bloku – Polsko a Slovensko. Obecně je mezi zeměmi západní Evropy držená hotovost v průměru nižší než </w:t>
      </w:r>
      <w:r w:rsidR="00C857EB">
        <w:rPr>
          <w:sz w:val="20"/>
          <w:szCs w:val="20"/>
        </w:rPr>
        <w:br/>
      </w:r>
      <w:r w:rsidRPr="00B80EC9">
        <w:rPr>
          <w:sz w:val="20"/>
          <w:szCs w:val="20"/>
        </w:rPr>
        <w:t xml:space="preserve">u zemí střední a východní Evropy.  </w:t>
      </w:r>
    </w:p>
    <w:p w14:paraId="7F8D6D55" w14:textId="77777777" w:rsidR="00C857EB" w:rsidRPr="00B80EC9" w:rsidRDefault="00C857EB" w:rsidP="00B80EC9">
      <w:pPr>
        <w:spacing w:after="0" w:line="240" w:lineRule="auto"/>
        <w:jc w:val="both"/>
        <w:rPr>
          <w:sz w:val="20"/>
          <w:szCs w:val="20"/>
        </w:rPr>
      </w:pPr>
    </w:p>
    <w:p w14:paraId="3331FA08" w14:textId="77777777" w:rsidR="006E1584" w:rsidRPr="00B80EC9" w:rsidRDefault="006E1584" w:rsidP="00B80EC9">
      <w:pPr>
        <w:spacing w:after="0" w:line="240" w:lineRule="auto"/>
        <w:jc w:val="both"/>
        <w:rPr>
          <w:sz w:val="20"/>
          <w:szCs w:val="20"/>
        </w:rPr>
      </w:pPr>
      <w:r w:rsidRPr="00B80EC9">
        <w:rPr>
          <w:sz w:val="20"/>
          <w:szCs w:val="20"/>
        </w:rPr>
        <w:t xml:space="preserve">Nejmarkantnějším rozdílem je pak rozložení dalších finančních aktiv, kde můžeme také pozorovat rozdíly mezi USA a evropskými zeměmi. Američané mají velkou část svých prostředků alokovánu v akciovém trhu. Nejen přímým držením akcií, ale také skrze nástroje kolektivního investování, kdy penzijní i podílové fondy v USA drží větší objemy majetku v akciích než srovnatelné nástroje v Evropě. Velká participace v akciovém trhu je sice volatilnější, takové investice však generují vyšší výnosy než investice do jiných druhů cenných papírů, a to zvláště v dlouhodobém horizontu. Proto také americké domácnosti patří v průměru mezi ty bohaté. Obdobně jsou na tom co do složení „portfolií“ také Švýcaři, čemuž odpovídá i jejich celkové bohatství. Kumulace finančních aktiv v průběhu produktivního života je s ohledem na osobní finance potřebná kvůli zajištění se na stáří. </w:t>
      </w:r>
    </w:p>
    <w:p w14:paraId="43090303" w14:textId="77777777" w:rsidR="006E1584" w:rsidRPr="00B80EC9" w:rsidRDefault="006E1584" w:rsidP="00B80EC9">
      <w:pPr>
        <w:spacing w:after="0" w:line="240" w:lineRule="auto"/>
        <w:rPr>
          <w:b/>
          <w:bCs/>
          <w:sz w:val="20"/>
          <w:szCs w:val="20"/>
        </w:rPr>
      </w:pPr>
    </w:p>
    <w:p w14:paraId="3DBFD01E" w14:textId="565CD94B" w:rsidR="006E1584" w:rsidRPr="00613922" w:rsidRDefault="006E1584" w:rsidP="00B80EC9">
      <w:pPr>
        <w:pStyle w:val="Nadpis3"/>
        <w:spacing w:before="0" w:line="240" w:lineRule="auto"/>
        <w:rPr>
          <w:b/>
          <w:bCs/>
          <w:szCs w:val="22"/>
        </w:rPr>
      </w:pPr>
      <w:r w:rsidRPr="00613922">
        <w:rPr>
          <w:b/>
          <w:bCs/>
          <w:szCs w:val="22"/>
        </w:rPr>
        <w:t>Zajištění prostředků na stáří? Máme co dohánět.</w:t>
      </w:r>
    </w:p>
    <w:p w14:paraId="63D1B01C" w14:textId="29870186" w:rsidR="006F1487" w:rsidRDefault="006E1584" w:rsidP="00B80EC9">
      <w:pPr>
        <w:spacing w:after="0" w:line="240" w:lineRule="auto"/>
        <w:jc w:val="both"/>
        <w:rPr>
          <w:sz w:val="20"/>
          <w:szCs w:val="20"/>
        </w:rPr>
      </w:pPr>
      <w:r w:rsidRPr="00B80EC9">
        <w:rPr>
          <w:sz w:val="20"/>
          <w:szCs w:val="20"/>
        </w:rPr>
        <w:t>A jak je to vlastně s penzijními fondy a zajištěním na stáří? Podle výše uvedeného grafu v Česku tvoří penzijní fondy v průměru 6,2% podíl na finančních aktivech – výrazně méně, než je tomu v okolních státech. Penzijní fondy tak nepatří mezi oblíbené investiční nástroje, což je dáno jejich konzervativní investiční strategií, kdy 81,5 % aktiv fondů je tvořeno státními dluhopisy</w:t>
      </w:r>
      <w:r w:rsidRPr="00B80EC9">
        <w:rPr>
          <w:rStyle w:val="Znakapoznpodarou"/>
          <w:sz w:val="20"/>
          <w:szCs w:val="20"/>
        </w:rPr>
        <w:footnoteReference w:id="1"/>
      </w:r>
      <w:r w:rsidRPr="00B80EC9">
        <w:rPr>
          <w:sz w:val="20"/>
          <w:szCs w:val="20"/>
        </w:rPr>
        <w:t xml:space="preserve">. Tyto nástroje lze díky jejich složení považovat za bezpečnější, nicméně z pohledu investora a střadatele za prakticky neatraktivní. </w:t>
      </w:r>
      <w:r w:rsidR="00613922">
        <w:rPr>
          <w:sz w:val="20"/>
          <w:szCs w:val="20"/>
        </w:rPr>
        <w:br/>
      </w:r>
      <w:r w:rsidRPr="00B80EC9">
        <w:rPr>
          <w:sz w:val="20"/>
          <w:szCs w:val="20"/>
        </w:rPr>
        <w:t>V České republice zároveň chybí motivace pro jednotlivce k zajištění dodatečných příjmů na důchod. Aktuálně jsou jedinou motivací státní příspěvky a slevy na dani v případě spoření na stáří prostřednictvím penzijních fondů. V souvislosti s nastavením důchodového systému</w:t>
      </w:r>
      <w:r w:rsidR="00613922">
        <w:rPr>
          <w:sz w:val="20"/>
          <w:szCs w:val="20"/>
        </w:rPr>
        <w:t xml:space="preserve">, </w:t>
      </w:r>
      <w:r w:rsidRPr="00B80EC9">
        <w:rPr>
          <w:sz w:val="20"/>
          <w:szCs w:val="20"/>
        </w:rPr>
        <w:t>a absencí motivace k vlastnímu spoření a zajištění prostředků na stáří</w:t>
      </w:r>
      <w:r w:rsidR="00613922">
        <w:rPr>
          <w:sz w:val="20"/>
          <w:szCs w:val="20"/>
        </w:rPr>
        <w:t>,</w:t>
      </w:r>
      <w:r w:rsidRPr="00B80EC9">
        <w:rPr>
          <w:sz w:val="20"/>
          <w:szCs w:val="20"/>
        </w:rPr>
        <w:t xml:space="preserve"> máme kvůli systému penzijních fondů oproti nastavení v západních zemích ještě co dohánět.</w:t>
      </w:r>
    </w:p>
    <w:p w14:paraId="3B5245AD" w14:textId="77777777" w:rsidR="00613922" w:rsidRPr="00B80EC9" w:rsidRDefault="00613922" w:rsidP="00B80EC9">
      <w:pPr>
        <w:spacing w:after="0" w:line="240" w:lineRule="auto"/>
        <w:jc w:val="both"/>
        <w:rPr>
          <w:rFonts w:eastAsiaTheme="minorEastAsia"/>
          <w:color w:val="5A5A5A" w:themeColor="text1" w:themeTint="A5"/>
          <w:spacing w:val="15"/>
          <w:sz w:val="20"/>
          <w:szCs w:val="20"/>
        </w:rPr>
      </w:pPr>
    </w:p>
    <w:p w14:paraId="2E7506F5" w14:textId="7BC7CEEA" w:rsidR="00866B0F" w:rsidRPr="00B80EC9" w:rsidRDefault="00D172AE" w:rsidP="00613922">
      <w:pPr>
        <w:spacing w:after="0" w:line="240" w:lineRule="auto"/>
        <w:jc w:val="center"/>
        <w:rPr>
          <w:noProof/>
          <w:sz w:val="20"/>
          <w:szCs w:val="20"/>
          <w:lang w:eastAsia="cs-CZ"/>
        </w:rPr>
      </w:pPr>
      <w:r>
        <w:rPr>
          <w:noProof/>
        </w:rPr>
        <w:drawing>
          <wp:inline distT="0" distB="0" distL="0" distR="0" wp14:anchorId="3B59DFB8" wp14:editId="567A454C">
            <wp:extent cx="6450037" cy="4726744"/>
            <wp:effectExtent l="0" t="0" r="0" b="0"/>
            <wp:docPr id="12" name="Graf 12">
              <a:extLst xmlns:a="http://schemas.openxmlformats.org/drawingml/2006/main">
                <a:ext uri="{FF2B5EF4-FFF2-40B4-BE49-F238E27FC236}">
                  <a16:creationId xmlns:a16="http://schemas.microsoft.com/office/drawing/2014/main" id="{A7F98D69-CC64-47ED-B260-51657C3CD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5A6BF8" w14:textId="0E7645F3" w:rsidR="00D172AE" w:rsidRPr="00B80EC9" w:rsidRDefault="00D172AE" w:rsidP="00D172AE">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 xml:space="preserve">Zdroj: </w:t>
      </w:r>
      <w:r>
        <w:rPr>
          <w:rFonts w:eastAsiaTheme="minorEastAsia"/>
          <w:color w:val="5A5A5A" w:themeColor="text1" w:themeTint="A5"/>
          <w:spacing w:val="15"/>
          <w:sz w:val="20"/>
          <w:szCs w:val="20"/>
        </w:rPr>
        <w:t>OECD</w:t>
      </w:r>
    </w:p>
    <w:p w14:paraId="35667B5C" w14:textId="77777777" w:rsidR="00D172AE" w:rsidRDefault="00D172AE" w:rsidP="00B80EC9">
      <w:pPr>
        <w:spacing w:after="0" w:line="240" w:lineRule="auto"/>
        <w:jc w:val="both"/>
        <w:rPr>
          <w:sz w:val="20"/>
          <w:szCs w:val="20"/>
        </w:rPr>
      </w:pPr>
    </w:p>
    <w:p w14:paraId="459D7A49" w14:textId="2F6F0E73" w:rsidR="006E1584" w:rsidRPr="00B80EC9" w:rsidRDefault="006E1584" w:rsidP="00B80EC9">
      <w:pPr>
        <w:spacing w:after="0" w:line="240" w:lineRule="auto"/>
        <w:jc w:val="both"/>
        <w:rPr>
          <w:sz w:val="20"/>
          <w:szCs w:val="20"/>
        </w:rPr>
      </w:pPr>
      <w:r w:rsidRPr="00B80EC9">
        <w:rPr>
          <w:sz w:val="20"/>
          <w:szCs w:val="20"/>
        </w:rPr>
        <w:lastRenderedPageBreak/>
        <w:t xml:space="preserve">Penzijní systém v České republice je založen na systému </w:t>
      </w:r>
      <w:proofErr w:type="spellStart"/>
      <w:r w:rsidRPr="00B80EC9">
        <w:rPr>
          <w:sz w:val="20"/>
          <w:szCs w:val="20"/>
        </w:rPr>
        <w:t>pay</w:t>
      </w:r>
      <w:proofErr w:type="spellEnd"/>
      <w:r w:rsidRPr="00B80EC9">
        <w:rPr>
          <w:sz w:val="20"/>
          <w:szCs w:val="20"/>
        </w:rPr>
        <w:t>-as-</w:t>
      </w:r>
      <w:proofErr w:type="spellStart"/>
      <w:r w:rsidRPr="00B80EC9">
        <w:rPr>
          <w:sz w:val="20"/>
          <w:szCs w:val="20"/>
        </w:rPr>
        <w:t>you</w:t>
      </w:r>
      <w:proofErr w:type="spellEnd"/>
      <w:r w:rsidRPr="00B80EC9">
        <w:rPr>
          <w:sz w:val="20"/>
          <w:szCs w:val="20"/>
        </w:rPr>
        <w:t xml:space="preserve">-go, a tedy na solidaritě mladší generace, která aktuálně „platí“ důchody současným penzistům. Tento systém není v Evropě neobvyklý, ale velmi často, zejména v západní Evropě, bývá ještě doplněn o soukromé důchodové plány, kde je část odvodů alokována do penzijních fondů nebo jiných forem investic. Jde tak </w:t>
      </w:r>
      <w:r w:rsidR="00613922">
        <w:rPr>
          <w:sz w:val="20"/>
          <w:szCs w:val="20"/>
        </w:rPr>
        <w:br/>
      </w:r>
      <w:r w:rsidRPr="00B80EC9">
        <w:rPr>
          <w:sz w:val="20"/>
          <w:szCs w:val="20"/>
        </w:rPr>
        <w:t>o zajištění dalších zdrojů pro budoucí důchody a částečně způsob, jak se vypořádat s budoucím demografickým vývojem a stárnutím populace. Ve srovnání s ostatními zeměmi Evropské unie dle standardu PPS patří důchody v České republice k těm podprůměrným</w:t>
      </w:r>
      <w:r w:rsidRPr="00B80EC9">
        <w:rPr>
          <w:rStyle w:val="Znakapoznpodarou"/>
          <w:sz w:val="20"/>
          <w:szCs w:val="20"/>
        </w:rPr>
        <w:footnoteReference w:id="2"/>
      </w:r>
      <w:r w:rsidRPr="00B80EC9">
        <w:rPr>
          <w:sz w:val="20"/>
          <w:szCs w:val="20"/>
        </w:rPr>
        <w:t>. Tato skutečnost může být připisována velké závislost</w:t>
      </w:r>
      <w:r w:rsidR="00D172AE">
        <w:rPr>
          <w:sz w:val="20"/>
          <w:szCs w:val="20"/>
        </w:rPr>
        <w:t>i</w:t>
      </w:r>
      <w:r w:rsidRPr="00B80EC9">
        <w:rPr>
          <w:sz w:val="20"/>
          <w:szCs w:val="20"/>
        </w:rPr>
        <w:t xml:space="preserve"> penzistů na státních důchodech – 95 % celkových příjmů penzistů je v rámci důchodů vyplácených státem, zbylých 5 % tvoří soukromé úspory. Podobná distribuce zdroje penzí je </w:t>
      </w:r>
      <w:r w:rsidR="00D172AE">
        <w:rPr>
          <w:sz w:val="20"/>
          <w:szCs w:val="20"/>
        </w:rPr>
        <w:t xml:space="preserve">také </w:t>
      </w:r>
      <w:r w:rsidRPr="00B80EC9">
        <w:rPr>
          <w:sz w:val="20"/>
          <w:szCs w:val="20"/>
        </w:rPr>
        <w:t>v ostatních zemích střední a východní Evropy</w:t>
      </w:r>
      <w:r w:rsidRPr="00B80EC9">
        <w:rPr>
          <w:rStyle w:val="Znakapoznpodarou"/>
          <w:sz w:val="20"/>
          <w:szCs w:val="20"/>
        </w:rPr>
        <w:footnoteReference w:id="3"/>
      </w:r>
      <w:r w:rsidRPr="00B80EC9">
        <w:rPr>
          <w:sz w:val="20"/>
          <w:szCs w:val="20"/>
        </w:rPr>
        <w:t xml:space="preserve">, kde jsou průměrné důchody rovněž podprůměrné. </w:t>
      </w:r>
    </w:p>
    <w:p w14:paraId="5B354431" w14:textId="77777777" w:rsidR="007B33CA" w:rsidRPr="00B80EC9" w:rsidRDefault="007B33CA" w:rsidP="00B80EC9">
      <w:pPr>
        <w:spacing w:after="0" w:line="240" w:lineRule="auto"/>
        <w:jc w:val="both"/>
        <w:rPr>
          <w:sz w:val="20"/>
          <w:szCs w:val="20"/>
        </w:rPr>
      </w:pPr>
    </w:p>
    <w:p w14:paraId="3A00BA4A" w14:textId="209318B5" w:rsidR="007B33CA" w:rsidRPr="00B80EC9" w:rsidRDefault="009709AD" w:rsidP="00B80EC9">
      <w:pPr>
        <w:spacing w:after="0" w:line="240" w:lineRule="auto"/>
        <w:rPr>
          <w:rFonts w:eastAsiaTheme="minorEastAsia"/>
          <w:color w:val="5A5A5A" w:themeColor="text1" w:themeTint="A5"/>
          <w:spacing w:val="15"/>
          <w:sz w:val="20"/>
          <w:szCs w:val="20"/>
        </w:rPr>
      </w:pPr>
      <w:r w:rsidRPr="00B80EC9">
        <w:rPr>
          <w:rFonts w:eastAsiaTheme="minorEastAsia"/>
          <w:noProof/>
          <w:color w:val="5A5A5A" w:themeColor="text1" w:themeTint="A5"/>
          <w:spacing w:val="15"/>
          <w:sz w:val="20"/>
          <w:szCs w:val="20"/>
          <w:lang w:eastAsia="cs-CZ"/>
        </w:rPr>
        <w:drawing>
          <wp:inline distT="0" distB="0" distL="0" distR="0" wp14:anchorId="544FC522" wp14:editId="265D2ABD">
            <wp:extent cx="6840000" cy="2808000"/>
            <wp:effectExtent l="0" t="0" r="0" b="0"/>
            <wp:docPr id="7" name="Graf 7">
              <a:extLst xmlns:a="http://schemas.openxmlformats.org/drawingml/2006/main">
                <a:ext uri="{FF2B5EF4-FFF2-40B4-BE49-F238E27FC236}">
                  <a16:creationId xmlns:a16="http://schemas.microsoft.com/office/drawing/2014/main" id="{CF493A69-9245-4CF1-BCF1-3C7EF08C3B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B33CA" w:rsidRPr="00B80EC9">
        <w:rPr>
          <w:rFonts w:eastAsiaTheme="minorEastAsia"/>
          <w:color w:val="5A5A5A" w:themeColor="text1" w:themeTint="A5"/>
          <w:spacing w:val="15"/>
          <w:sz w:val="20"/>
          <w:szCs w:val="20"/>
        </w:rPr>
        <w:t xml:space="preserve"> </w:t>
      </w:r>
    </w:p>
    <w:p w14:paraId="793CE3C3" w14:textId="77777777" w:rsidR="007B33CA" w:rsidRPr="00B80EC9" w:rsidRDefault="007B33CA" w:rsidP="00B80EC9">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 xml:space="preserve">Zdroj: </w:t>
      </w:r>
      <w:proofErr w:type="spellStart"/>
      <w:r w:rsidRPr="00B80EC9">
        <w:rPr>
          <w:rFonts w:eastAsiaTheme="minorEastAsia"/>
          <w:color w:val="5A5A5A" w:themeColor="text1" w:themeTint="A5"/>
          <w:spacing w:val="15"/>
          <w:sz w:val="20"/>
          <w:szCs w:val="20"/>
        </w:rPr>
        <w:t>Eurostat</w:t>
      </w:r>
      <w:proofErr w:type="spellEnd"/>
    </w:p>
    <w:p w14:paraId="4627A049" w14:textId="77777777" w:rsidR="007B33CA" w:rsidRPr="00B80EC9" w:rsidRDefault="007B33CA" w:rsidP="00B80EC9">
      <w:pPr>
        <w:spacing w:after="0" w:line="240" w:lineRule="auto"/>
        <w:rPr>
          <w:rFonts w:eastAsiaTheme="minorEastAsia"/>
          <w:color w:val="5A5A5A" w:themeColor="text1" w:themeTint="A5"/>
          <w:spacing w:val="15"/>
          <w:sz w:val="20"/>
          <w:szCs w:val="20"/>
        </w:rPr>
      </w:pPr>
    </w:p>
    <w:p w14:paraId="5A47C5EA" w14:textId="0E807601" w:rsidR="007B33CA" w:rsidRPr="00B80EC9" w:rsidRDefault="007B33CA" w:rsidP="00B80EC9">
      <w:pPr>
        <w:spacing w:after="0" w:line="240" w:lineRule="auto"/>
        <w:rPr>
          <w:rFonts w:eastAsiaTheme="minorEastAsia"/>
          <w:color w:val="5A5A5A" w:themeColor="text1" w:themeTint="A5"/>
          <w:spacing w:val="15"/>
          <w:sz w:val="20"/>
          <w:szCs w:val="20"/>
        </w:rPr>
      </w:pPr>
      <w:r w:rsidRPr="00B80EC9">
        <w:rPr>
          <w:noProof/>
          <w:sz w:val="20"/>
          <w:szCs w:val="20"/>
          <w:lang w:eastAsia="cs-CZ"/>
        </w:rPr>
        <w:drawing>
          <wp:inline distT="0" distB="0" distL="0" distR="0" wp14:anchorId="713BCF97" wp14:editId="5188C466">
            <wp:extent cx="6624000" cy="2476500"/>
            <wp:effectExtent l="0" t="0" r="5715" b="0"/>
            <wp:docPr id="6" name="Graf 6">
              <a:extLst xmlns:a="http://schemas.openxmlformats.org/drawingml/2006/main">
                <a:ext uri="{FF2B5EF4-FFF2-40B4-BE49-F238E27FC236}">
                  <a16:creationId xmlns:a16="http://schemas.microsoft.com/office/drawing/2014/main" id="{797C6103-D932-4334-8ABE-8135262A2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768BC5" w14:textId="48F7821F" w:rsidR="007B33CA" w:rsidRPr="00B80EC9" w:rsidRDefault="007B33CA" w:rsidP="00B80EC9">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 xml:space="preserve">Zdroj: </w:t>
      </w:r>
      <w:proofErr w:type="spellStart"/>
      <w:r w:rsidRPr="00B80EC9">
        <w:rPr>
          <w:rFonts w:eastAsiaTheme="minorEastAsia"/>
          <w:color w:val="5A5A5A" w:themeColor="text1" w:themeTint="A5"/>
          <w:spacing w:val="15"/>
          <w:sz w:val="20"/>
          <w:szCs w:val="20"/>
        </w:rPr>
        <w:t>Eurostat</w:t>
      </w:r>
      <w:proofErr w:type="spellEnd"/>
    </w:p>
    <w:p w14:paraId="24DD5FE4" w14:textId="03DCF9E8" w:rsidR="009709AD" w:rsidRPr="00B80EC9" w:rsidRDefault="009709AD" w:rsidP="00B80EC9">
      <w:pPr>
        <w:spacing w:after="0" w:line="240" w:lineRule="auto"/>
        <w:rPr>
          <w:noProof/>
          <w:sz w:val="20"/>
          <w:szCs w:val="20"/>
          <w:lang w:eastAsia="cs-CZ"/>
        </w:rPr>
      </w:pPr>
    </w:p>
    <w:p w14:paraId="2370DDE3" w14:textId="77777777" w:rsidR="006E1584" w:rsidRPr="00613922" w:rsidRDefault="006E1584" w:rsidP="00B80EC9">
      <w:pPr>
        <w:pStyle w:val="Nadpis3"/>
        <w:spacing w:before="0" w:line="240" w:lineRule="auto"/>
        <w:rPr>
          <w:b/>
          <w:bCs/>
          <w:szCs w:val="22"/>
        </w:rPr>
      </w:pPr>
      <w:r w:rsidRPr="00613922">
        <w:rPr>
          <w:b/>
          <w:bCs/>
          <w:szCs w:val="22"/>
        </w:rPr>
        <w:t>V roce 2050 již bude připadat 1 penzista na jednu osobu v produktivním věku</w:t>
      </w:r>
    </w:p>
    <w:p w14:paraId="1F4484C6" w14:textId="041F995C" w:rsidR="006E1584" w:rsidRPr="00B80EC9" w:rsidRDefault="006E1584" w:rsidP="00B80EC9">
      <w:pPr>
        <w:spacing w:after="0" w:line="240" w:lineRule="auto"/>
        <w:jc w:val="both"/>
        <w:rPr>
          <w:sz w:val="20"/>
          <w:szCs w:val="20"/>
        </w:rPr>
      </w:pPr>
      <w:r w:rsidRPr="00B80EC9">
        <w:rPr>
          <w:sz w:val="20"/>
          <w:szCs w:val="20"/>
        </w:rPr>
        <w:t xml:space="preserve">Průběžný důchodový systém a důchody současné generace jsou závislé na produktivitě mladší generace, která aktuálně vydělává. Takzvaný index závislosti starších osob říká, kolik osob v důchodovém věku je závislých na daních a odvodech produktivní části populace. V současné době (rok 2021) je index závislosti starších osob (65 let a více) na produktivní populaci na úrovni 31,1 – to znamená, že jeden penzista připadá na </w:t>
      </w:r>
      <w:r w:rsidR="003C3E45">
        <w:rPr>
          <w:sz w:val="20"/>
          <w:szCs w:val="20"/>
        </w:rPr>
        <w:t>tři</w:t>
      </w:r>
      <w:r w:rsidRPr="00B80EC9">
        <w:rPr>
          <w:sz w:val="20"/>
          <w:szCs w:val="20"/>
        </w:rPr>
        <w:t xml:space="preserve"> osoby v produktivním věku. Pokud se v současném nastavení důchodového systému nic nezmění, tak jen v důsledku demografického vývoje bude v roce 2040 připadat jeden penzista na necelé </w:t>
      </w:r>
      <w:r w:rsidR="003C3E45">
        <w:rPr>
          <w:sz w:val="20"/>
          <w:szCs w:val="20"/>
        </w:rPr>
        <w:t>dvě</w:t>
      </w:r>
      <w:r w:rsidRPr="00B80EC9">
        <w:rPr>
          <w:sz w:val="20"/>
          <w:szCs w:val="20"/>
        </w:rPr>
        <w:t xml:space="preserve"> osoby v produktivním věku, přičemž tato hranice se bude dále posouvat a v roce 2050 již bude připadat </w:t>
      </w:r>
      <w:r w:rsidR="003C3E45">
        <w:rPr>
          <w:sz w:val="20"/>
          <w:szCs w:val="20"/>
        </w:rPr>
        <w:t>jeden</w:t>
      </w:r>
      <w:r w:rsidRPr="00B80EC9">
        <w:rPr>
          <w:sz w:val="20"/>
          <w:szCs w:val="20"/>
        </w:rPr>
        <w:t xml:space="preserve"> penzista na jednu osobu v produktivním věku. Pokud se na současném nastavení důchodového systému nic nezmění, bude to v budoucnu pro pracující znamenat jediné – vyšší daňovou zátěž nebo odvody, která už je v dnešní době 40 % a mezi zeměmi OECD patří zdanění práce v České republice k jednomu z nejvyšších. </w:t>
      </w:r>
    </w:p>
    <w:p w14:paraId="22A65F19" w14:textId="4B4B23CE" w:rsidR="006E1584" w:rsidRPr="00B80EC9" w:rsidRDefault="006E1584" w:rsidP="00B80EC9">
      <w:pPr>
        <w:spacing w:after="0" w:line="240" w:lineRule="auto"/>
        <w:jc w:val="both"/>
        <w:rPr>
          <w:sz w:val="20"/>
          <w:szCs w:val="20"/>
        </w:rPr>
      </w:pPr>
      <w:r w:rsidRPr="00B80EC9">
        <w:rPr>
          <w:sz w:val="20"/>
          <w:szCs w:val="20"/>
        </w:rPr>
        <w:lastRenderedPageBreak/>
        <w:t>Pro ilustraci, za aktuálního nastavení odvádí zaměstnanec beroucí průměrnou mzdu 38 275 Kč ze své hrubé mzdy 7 632 Kč</w:t>
      </w:r>
      <w:r w:rsidRPr="00B80EC9">
        <w:rPr>
          <w:rStyle w:val="Znakapoznpodarou"/>
          <w:sz w:val="20"/>
          <w:szCs w:val="20"/>
        </w:rPr>
        <w:footnoteReference w:id="4"/>
      </w:r>
      <w:r w:rsidRPr="00B80EC9">
        <w:rPr>
          <w:sz w:val="20"/>
          <w:szCs w:val="20"/>
        </w:rPr>
        <w:t xml:space="preserve">, dalších 12 938 Kč za průměrného zaměstnance odvádí jeho zaměstnavatel. Celkem tak jeden průměrný zaměstnanec zaplatí na daních </w:t>
      </w:r>
      <w:r w:rsidR="003C3E45">
        <w:rPr>
          <w:sz w:val="20"/>
          <w:szCs w:val="20"/>
        </w:rPr>
        <w:br/>
      </w:r>
      <w:r w:rsidRPr="00B80EC9">
        <w:rPr>
          <w:sz w:val="20"/>
          <w:szCs w:val="20"/>
        </w:rPr>
        <w:t xml:space="preserve">a odvodech 20 570 Kč. Daňová zátěž spolu se všemi odvody na jednoho zaměstnance je tedy aktuálně lehce přes 40 %. </w:t>
      </w:r>
    </w:p>
    <w:p w14:paraId="4D9851B1" w14:textId="77777777" w:rsidR="006E1584" w:rsidRPr="00B80EC9" w:rsidRDefault="006E1584" w:rsidP="00B80EC9">
      <w:pPr>
        <w:spacing w:after="0" w:line="240" w:lineRule="auto"/>
        <w:jc w:val="both"/>
        <w:rPr>
          <w:sz w:val="20"/>
          <w:szCs w:val="20"/>
        </w:rPr>
      </w:pPr>
    </w:p>
    <w:p w14:paraId="1EF8924E" w14:textId="77777777" w:rsidR="006E1584" w:rsidRPr="003C3E45" w:rsidRDefault="006E1584" w:rsidP="00B80EC9">
      <w:pPr>
        <w:pStyle w:val="Nadpis3"/>
        <w:spacing w:before="0" w:line="240" w:lineRule="auto"/>
        <w:rPr>
          <w:b/>
          <w:bCs/>
          <w:szCs w:val="22"/>
        </w:rPr>
      </w:pPr>
      <w:r w:rsidRPr="003C3E45">
        <w:rPr>
          <w:b/>
          <w:bCs/>
          <w:szCs w:val="22"/>
        </w:rPr>
        <w:t>K zajištění renty nebo dodatečného příjmu na stáří je zapotřebí vlastní inciativy</w:t>
      </w:r>
    </w:p>
    <w:p w14:paraId="1C033813" w14:textId="2AEDAD60" w:rsidR="006E1584" w:rsidRDefault="006E1584" w:rsidP="00B80EC9">
      <w:pPr>
        <w:spacing w:after="0" w:line="240" w:lineRule="auto"/>
        <w:jc w:val="both"/>
        <w:rPr>
          <w:sz w:val="20"/>
          <w:szCs w:val="20"/>
        </w:rPr>
      </w:pPr>
      <w:r w:rsidRPr="00B80EC9">
        <w:rPr>
          <w:sz w:val="20"/>
          <w:szCs w:val="20"/>
        </w:rPr>
        <w:t>Nevyhnutelným řešením pro budoucí generace je tak zvyšování věku odchodu do starobního důchodu. Aby zátěž na osoby</w:t>
      </w:r>
      <w:r w:rsidR="00D172AE">
        <w:rPr>
          <w:sz w:val="20"/>
          <w:szCs w:val="20"/>
        </w:rPr>
        <w:br/>
      </w:r>
      <w:r w:rsidRPr="00B80EC9">
        <w:rPr>
          <w:sz w:val="20"/>
          <w:szCs w:val="20"/>
        </w:rPr>
        <w:t xml:space="preserve">v produktivním věku nerostla a index závislosti se nezvyšoval nad současnou úroveň, měl by se věk odchodu do důchodu posunout na 70 let, což je o 5 let více než současná hranice 65 let pro ročníky 1971 a mladší. </w:t>
      </w:r>
    </w:p>
    <w:p w14:paraId="2C534454" w14:textId="77777777" w:rsidR="003C3E45" w:rsidRPr="00B80EC9" w:rsidRDefault="003C3E45" w:rsidP="00B80EC9">
      <w:pPr>
        <w:spacing w:after="0" w:line="240" w:lineRule="auto"/>
        <w:jc w:val="both"/>
        <w:rPr>
          <w:sz w:val="20"/>
          <w:szCs w:val="20"/>
        </w:rPr>
      </w:pPr>
    </w:p>
    <w:p w14:paraId="57194C5D" w14:textId="01900CA0" w:rsidR="006E1584" w:rsidRDefault="006E1584" w:rsidP="00B80EC9">
      <w:pPr>
        <w:spacing w:after="0" w:line="240" w:lineRule="auto"/>
        <w:jc w:val="both"/>
        <w:rPr>
          <w:sz w:val="20"/>
          <w:szCs w:val="20"/>
        </w:rPr>
      </w:pPr>
      <w:r w:rsidRPr="00B80EC9">
        <w:rPr>
          <w:sz w:val="20"/>
          <w:szCs w:val="20"/>
        </w:rPr>
        <w:t xml:space="preserve">V České republice však chybí propracovaná koncepce, jak se k celému důchodovému systému postavit a jak jej reformovat, i když je z dat a očekávaného vývoje patrné, že bez reformy to nepůjde. Na některé problémy začínáme narážet už nyní, navíc prognóza demografického vývoje je ještě prohloubí. Aktuálně jde zejména o situaci od roku 2030, kdy do penze začnou odcházet silné ročníky ze 70. let. Nepříznivá demografická prognóza bude znamenat vyšší nároky na státní rozpočet, jelikož důchody jsou jeho samostatnou největší výdajovou položkou (28 %). V aktuálním roce bylo na důchody vydáno 507,6 mld. Kč, plán pro příští rok hovoří o navýšení na 535,6 mld. Kč. Podle NRR stoupnou v horizontu 40 let roční náklady na důchody o 150 mld. Kč. Bez důchodové reformy se české veřejné finance v průběhu příští dekády dostanou do neudržitelné situace. Jednou z možností, jak předcházet situaci s nedostatečnými důchody, je zajištění si renty nebo dodatečného příjmu na stáří vlastní inciativou – tedy investicemi </w:t>
      </w:r>
      <w:r w:rsidR="003C3E45">
        <w:rPr>
          <w:sz w:val="20"/>
          <w:szCs w:val="20"/>
        </w:rPr>
        <w:br/>
      </w:r>
      <w:r w:rsidRPr="00B80EC9">
        <w:rPr>
          <w:sz w:val="20"/>
          <w:szCs w:val="20"/>
        </w:rPr>
        <w:t xml:space="preserve">a budováním bohatství v průběhu produktivního života. </w:t>
      </w:r>
    </w:p>
    <w:p w14:paraId="0E410FE6" w14:textId="77777777" w:rsidR="003C3E45" w:rsidRPr="00B80EC9" w:rsidRDefault="003C3E45" w:rsidP="00B80EC9">
      <w:pPr>
        <w:spacing w:after="0" w:line="240" w:lineRule="auto"/>
        <w:jc w:val="both"/>
        <w:rPr>
          <w:sz w:val="20"/>
          <w:szCs w:val="20"/>
        </w:rPr>
      </w:pPr>
    </w:p>
    <w:p w14:paraId="41DFBA72" w14:textId="7B210CCB" w:rsidR="006E1584" w:rsidRPr="00B80EC9" w:rsidRDefault="006E1584" w:rsidP="00B80EC9">
      <w:pPr>
        <w:spacing w:after="0" w:line="240" w:lineRule="auto"/>
        <w:jc w:val="both"/>
        <w:rPr>
          <w:sz w:val="20"/>
          <w:szCs w:val="20"/>
        </w:rPr>
      </w:pPr>
      <w:r w:rsidRPr="00B80EC9">
        <w:rPr>
          <w:sz w:val="20"/>
          <w:szCs w:val="20"/>
        </w:rPr>
        <w:t xml:space="preserve">Bohatství lze kromě výdělečné činnosti budovat zejména investováním. Díky tomu si člověk může v průběhu produktivních </w:t>
      </w:r>
      <w:r w:rsidR="00D172AE">
        <w:rPr>
          <w:sz w:val="20"/>
          <w:szCs w:val="20"/>
        </w:rPr>
        <w:br/>
      </w:r>
      <w:r w:rsidRPr="00B80EC9">
        <w:rPr>
          <w:sz w:val="20"/>
          <w:szCs w:val="20"/>
        </w:rPr>
        <w:t xml:space="preserve">let zajistit dostatečné množství prostředků, ze kterých bude moci čerpat při odchodu do penze, aby se vyhnul poklesu životní úrovně. Jedním ze způsobu zajištění se na stáří </w:t>
      </w:r>
      <w:r w:rsidR="003C3E45">
        <w:rPr>
          <w:sz w:val="20"/>
          <w:szCs w:val="20"/>
        </w:rPr>
        <w:t>je</w:t>
      </w:r>
      <w:r w:rsidRPr="00B80EC9">
        <w:rPr>
          <w:sz w:val="20"/>
          <w:szCs w:val="20"/>
        </w:rPr>
        <w:t xml:space="preserve"> pořízení si vlastní nemovitosti, aby měl člověk v pozdějším věku vyřešenu jednu z nejnákladnějších položek, kterou je bydlení. Kvůli ne úplně optimistickému výhledu na stav důchodového systému a za současné absence důchodové reformy</w:t>
      </w:r>
      <w:r w:rsidR="003C3E45">
        <w:rPr>
          <w:sz w:val="20"/>
          <w:szCs w:val="20"/>
        </w:rPr>
        <w:t>,</w:t>
      </w:r>
      <w:r w:rsidRPr="00B80EC9">
        <w:rPr>
          <w:sz w:val="20"/>
          <w:szCs w:val="20"/>
        </w:rPr>
        <w:t xml:space="preserve"> je další nevyhnutelností spoření nebo investování. Ať už v podobě penzijního spoření nebo napřímo skrze investiční aktiva, jako jsou akcie, dluhopisy, podílové fondy nebo jiné formy investic. Jako nejjednodušší forma se jeví pravidelné investování, kdy v průběhu života člověk po menších částkách pravidelně investuje do vybraného investičního produktu</w:t>
      </w:r>
      <w:r w:rsidR="003C3E45">
        <w:rPr>
          <w:sz w:val="20"/>
          <w:szCs w:val="20"/>
        </w:rPr>
        <w:t>.</w:t>
      </w:r>
    </w:p>
    <w:p w14:paraId="447575CF" w14:textId="77777777" w:rsidR="006E1584" w:rsidRPr="00B80EC9" w:rsidRDefault="006E1584" w:rsidP="00B80EC9">
      <w:pPr>
        <w:spacing w:after="0" w:line="240" w:lineRule="auto"/>
        <w:rPr>
          <w:b/>
          <w:bCs/>
          <w:sz w:val="20"/>
          <w:szCs w:val="20"/>
        </w:rPr>
      </w:pPr>
    </w:p>
    <w:p w14:paraId="20C08332" w14:textId="2226C58D" w:rsidR="006E1584" w:rsidRPr="003C3E45" w:rsidRDefault="006E1584" w:rsidP="00B80EC9">
      <w:pPr>
        <w:pStyle w:val="Nadpis3"/>
        <w:spacing w:before="0" w:line="240" w:lineRule="auto"/>
        <w:rPr>
          <w:b/>
          <w:bCs/>
          <w:szCs w:val="22"/>
        </w:rPr>
      </w:pPr>
      <w:r w:rsidRPr="003C3E45">
        <w:rPr>
          <w:b/>
          <w:bCs/>
          <w:szCs w:val="22"/>
        </w:rPr>
        <w:t>Čím dříve člověk začne nad vybudováním bohatství a zajištěním se na stáří přemýšlet, tím lépe.</w:t>
      </w:r>
    </w:p>
    <w:p w14:paraId="1657C7F0" w14:textId="3DF4CE8B" w:rsidR="006E1584" w:rsidRDefault="006E1584" w:rsidP="00B80EC9">
      <w:pPr>
        <w:spacing w:after="0" w:line="240" w:lineRule="auto"/>
        <w:jc w:val="both"/>
        <w:rPr>
          <w:sz w:val="20"/>
          <w:szCs w:val="20"/>
        </w:rPr>
      </w:pPr>
      <w:r w:rsidRPr="00B80EC9">
        <w:rPr>
          <w:sz w:val="20"/>
          <w:szCs w:val="20"/>
        </w:rPr>
        <w:t xml:space="preserve">Následující modelový příklad odhaluje kouzlo složeného úročení a pravidelného investování. Pokud je naší cílovou částkou na stáří 1 milion Kč, tak při pravidelné investici 1 000 Kč měsíčně na tuto částku dosáhneme za 30 let (360 tis. Kč vklad + zhodnocení </w:t>
      </w:r>
      <w:r w:rsidR="00D172AE">
        <w:rPr>
          <w:sz w:val="20"/>
          <w:szCs w:val="20"/>
        </w:rPr>
        <w:br/>
      </w:r>
      <w:r w:rsidRPr="00B80EC9">
        <w:rPr>
          <w:sz w:val="20"/>
          <w:szCs w:val="20"/>
        </w:rPr>
        <w:t xml:space="preserve">650 tis. Kč při průměrném ročním zhodnocení o 6 %). Pokud na naspoření této částky budeme mít jen 10 let, budeme muset měsíčně investovat 6 100 Kč (732 tis. Kč vklad + 272 tis. Kč zhodnocení). Není tedy nereálné takovouto částku naakumulovat také v kratším horizontu, čím dříve však člověk začne, tím lépe. </w:t>
      </w:r>
    </w:p>
    <w:p w14:paraId="2EC3A815" w14:textId="77777777" w:rsidR="00D14C5E" w:rsidRPr="00B80EC9" w:rsidRDefault="00D14C5E" w:rsidP="00B80EC9">
      <w:pPr>
        <w:spacing w:after="0" w:line="240" w:lineRule="auto"/>
        <w:jc w:val="both"/>
        <w:rPr>
          <w:sz w:val="20"/>
          <w:szCs w:val="20"/>
        </w:rPr>
      </w:pPr>
    </w:p>
    <w:p w14:paraId="47044800" w14:textId="09F5F73C" w:rsidR="006E1584" w:rsidRDefault="006E1584" w:rsidP="00B80EC9">
      <w:pPr>
        <w:spacing w:after="0" w:line="240" w:lineRule="auto"/>
        <w:jc w:val="both"/>
        <w:rPr>
          <w:sz w:val="20"/>
          <w:szCs w:val="20"/>
        </w:rPr>
      </w:pPr>
      <w:r w:rsidRPr="00B80EC9">
        <w:rPr>
          <w:sz w:val="20"/>
          <w:szCs w:val="20"/>
        </w:rPr>
        <w:t>Otázkou však zůstává</w:t>
      </w:r>
      <w:r w:rsidR="00D14C5E">
        <w:rPr>
          <w:sz w:val="20"/>
          <w:szCs w:val="20"/>
        </w:rPr>
        <w:t>,</w:t>
      </w:r>
      <w:r w:rsidRPr="00B80EC9">
        <w:rPr>
          <w:sz w:val="20"/>
          <w:szCs w:val="20"/>
        </w:rPr>
        <w:t xml:space="preserve"> s jakým zhodnocením by měl člověk počítat? To se samozřejmě vždy odvíjí od zvoleného investičního nástroje</w:t>
      </w:r>
      <w:r w:rsidR="00D172AE">
        <w:rPr>
          <w:sz w:val="20"/>
          <w:szCs w:val="20"/>
        </w:rPr>
        <w:t xml:space="preserve">, </w:t>
      </w:r>
      <w:r w:rsidRPr="00B80EC9">
        <w:rPr>
          <w:sz w:val="20"/>
          <w:szCs w:val="20"/>
        </w:rPr>
        <w:t xml:space="preserve">a také od dění na finančních trzích, které mohou zhodnocení investice ovlivnit. Nejdynamičtější zhodnocení </w:t>
      </w:r>
      <w:r w:rsidR="00D14C5E">
        <w:rPr>
          <w:sz w:val="20"/>
          <w:szCs w:val="20"/>
        </w:rPr>
        <w:t>lze</w:t>
      </w:r>
      <w:r w:rsidRPr="00B80EC9">
        <w:rPr>
          <w:sz w:val="20"/>
          <w:szCs w:val="20"/>
        </w:rPr>
        <w:t xml:space="preserve"> očekávat u akciové složky, a tedy také u produktů (například fondů), které jsou čistě akciové. V posledních 30 letech zhodnotil hlavní americký akciový index obsahující 500 největších amerických korporací S&amp;P 500 v průměru o 8,4 % ročně, se zohledněním dividend šlo dokonce o průměrný výnos ve výši 10,7 %. Když období ještě více natáhneme a podíváme se na posledních 50 let, jde </w:t>
      </w:r>
      <w:r w:rsidR="00D14C5E">
        <w:rPr>
          <w:sz w:val="20"/>
          <w:szCs w:val="20"/>
        </w:rPr>
        <w:br/>
      </w:r>
      <w:r w:rsidRPr="00B80EC9">
        <w:rPr>
          <w:sz w:val="20"/>
          <w:szCs w:val="20"/>
        </w:rPr>
        <w:t>o průměrné roční zhodnocení 7,8 % (když opět zohledníme dividendy tak o 11 %)</w:t>
      </w:r>
      <w:r w:rsidR="00D14C5E">
        <w:rPr>
          <w:sz w:val="20"/>
          <w:szCs w:val="20"/>
        </w:rPr>
        <w:t>. A</w:t>
      </w:r>
      <w:r w:rsidRPr="00B80EC9">
        <w:rPr>
          <w:sz w:val="20"/>
          <w:szCs w:val="20"/>
        </w:rPr>
        <w:t xml:space="preserve"> to v průběhu tohoto období potkalo akciové trhy několik krizí, ať už šlo o americkou ropnou krizi a stagflaci v 70. letech, technologickou bublinu v roce 2001, finanční krizi v roce 2008 nebo poslední propad z jara roku 2020. </w:t>
      </w:r>
      <w:r w:rsidRPr="00B80EC9">
        <w:rPr>
          <w:b/>
          <w:bCs/>
          <w:sz w:val="20"/>
          <w:szCs w:val="20"/>
        </w:rPr>
        <w:t>Přes všechny tyto krátké nepříznivé epizody jsou z dlouhodobého pohledu akciové trhy rostoucí a schopny přinášet nejvyšší možné výnosy.</w:t>
      </w:r>
      <w:r w:rsidRPr="00B80EC9">
        <w:rPr>
          <w:sz w:val="20"/>
          <w:szCs w:val="20"/>
        </w:rPr>
        <w:t xml:space="preserve"> Podobné zhodnocení přinášejí také evropské akcie (měřeno indexem Euro </w:t>
      </w:r>
      <w:proofErr w:type="spellStart"/>
      <w:r w:rsidRPr="00B80EC9">
        <w:rPr>
          <w:sz w:val="20"/>
          <w:szCs w:val="20"/>
        </w:rPr>
        <w:t>Stoxx</w:t>
      </w:r>
      <w:proofErr w:type="spellEnd"/>
      <w:r w:rsidRPr="00B80EC9">
        <w:rPr>
          <w:sz w:val="20"/>
          <w:szCs w:val="20"/>
        </w:rPr>
        <w:t xml:space="preserve"> 600 se zohledněním dividend) – za posledních 30 let to bylo v průměru 8,1 % </w:t>
      </w:r>
      <w:proofErr w:type="spellStart"/>
      <w:r w:rsidRPr="00B80EC9">
        <w:rPr>
          <w:sz w:val="20"/>
          <w:szCs w:val="20"/>
        </w:rPr>
        <w:t>p.a</w:t>
      </w:r>
      <w:proofErr w:type="spellEnd"/>
      <w:r w:rsidRPr="00B80EC9">
        <w:rPr>
          <w:sz w:val="20"/>
          <w:szCs w:val="20"/>
        </w:rPr>
        <w:t>.</w:t>
      </w:r>
    </w:p>
    <w:p w14:paraId="4E4FCB16" w14:textId="77777777" w:rsidR="00D14C5E" w:rsidRPr="00B80EC9" w:rsidRDefault="00D14C5E" w:rsidP="00B80EC9">
      <w:pPr>
        <w:spacing w:after="0" w:line="240" w:lineRule="auto"/>
        <w:jc w:val="both"/>
        <w:rPr>
          <w:sz w:val="20"/>
          <w:szCs w:val="20"/>
        </w:rPr>
      </w:pPr>
    </w:p>
    <w:p w14:paraId="56F24532" w14:textId="53F98872" w:rsidR="004A4C67" w:rsidRPr="00B80EC9" w:rsidRDefault="004A4C67" w:rsidP="00B80EC9">
      <w:pPr>
        <w:spacing w:after="0" w:line="240" w:lineRule="auto"/>
        <w:jc w:val="center"/>
        <w:rPr>
          <w:sz w:val="20"/>
          <w:szCs w:val="20"/>
        </w:rPr>
      </w:pPr>
      <w:r w:rsidRPr="00B80EC9">
        <w:rPr>
          <w:noProof/>
          <w:sz w:val="20"/>
          <w:szCs w:val="20"/>
        </w:rPr>
        <w:drawing>
          <wp:inline distT="0" distB="0" distL="0" distR="0" wp14:anchorId="1FACDE71" wp14:editId="570198FE">
            <wp:extent cx="5039211" cy="1842149"/>
            <wp:effectExtent l="0" t="0" r="3175" b="0"/>
            <wp:docPr id="5" name="Graf 5">
              <a:extLst xmlns:a="http://schemas.openxmlformats.org/drawingml/2006/main">
                <a:ext uri="{FF2B5EF4-FFF2-40B4-BE49-F238E27FC236}">
                  <a16:creationId xmlns:a16="http://schemas.microsoft.com/office/drawing/2014/main" id="{3375B2A0-7FBC-4FD7-882A-C83F8F420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A82BA8" w14:textId="4BCC9ED6" w:rsidR="004A4C67" w:rsidRPr="00B80EC9" w:rsidRDefault="004A4C67" w:rsidP="00B80EC9">
      <w:pPr>
        <w:spacing w:after="0" w:line="240" w:lineRule="auto"/>
        <w:rPr>
          <w:rFonts w:eastAsiaTheme="minorEastAsia"/>
          <w:color w:val="5A5A5A" w:themeColor="text1" w:themeTint="A5"/>
          <w:spacing w:val="15"/>
          <w:sz w:val="20"/>
          <w:szCs w:val="20"/>
        </w:rPr>
      </w:pPr>
      <w:r w:rsidRPr="00B80EC9">
        <w:rPr>
          <w:rFonts w:eastAsiaTheme="minorEastAsia"/>
          <w:color w:val="5A5A5A" w:themeColor="text1" w:themeTint="A5"/>
          <w:spacing w:val="15"/>
          <w:sz w:val="20"/>
          <w:szCs w:val="20"/>
        </w:rPr>
        <w:t xml:space="preserve">Zdroj: </w:t>
      </w:r>
      <w:proofErr w:type="spellStart"/>
      <w:r w:rsidRPr="00B80EC9">
        <w:rPr>
          <w:rFonts w:eastAsiaTheme="minorEastAsia"/>
          <w:color w:val="5A5A5A" w:themeColor="text1" w:themeTint="A5"/>
          <w:spacing w:val="15"/>
          <w:sz w:val="20"/>
          <w:szCs w:val="20"/>
        </w:rPr>
        <w:t>Bloomberg</w:t>
      </w:r>
      <w:proofErr w:type="spellEnd"/>
    </w:p>
    <w:p w14:paraId="0A4AF601" w14:textId="52FF3780" w:rsidR="006E1584" w:rsidRDefault="006E1584" w:rsidP="00B80EC9">
      <w:pPr>
        <w:spacing w:after="0" w:line="240" w:lineRule="auto"/>
        <w:jc w:val="both"/>
        <w:rPr>
          <w:b/>
          <w:bCs/>
          <w:sz w:val="20"/>
          <w:szCs w:val="20"/>
        </w:rPr>
      </w:pPr>
      <w:r w:rsidRPr="00B80EC9">
        <w:rPr>
          <w:sz w:val="20"/>
          <w:szCs w:val="20"/>
        </w:rPr>
        <w:lastRenderedPageBreak/>
        <w:t>Konzervativnější investic</w:t>
      </w:r>
      <w:r w:rsidR="00F91190">
        <w:rPr>
          <w:sz w:val="20"/>
          <w:szCs w:val="20"/>
        </w:rPr>
        <w:t>i</w:t>
      </w:r>
      <w:r w:rsidRPr="00B80EC9">
        <w:rPr>
          <w:sz w:val="20"/>
          <w:szCs w:val="20"/>
        </w:rPr>
        <w:t xml:space="preserve"> oproti akciím představují státní dluhopisy, které bývají považovány za málo rizikové, a to zvláště pokud jde o dluhopisy vyspělých zemí jako jsou Spojené státy, Japonsko, Německo nebo například i Česká republika. Díky tomu, že jde </w:t>
      </w:r>
      <w:r w:rsidR="00D14C5E">
        <w:rPr>
          <w:sz w:val="20"/>
          <w:szCs w:val="20"/>
        </w:rPr>
        <w:br/>
      </w:r>
      <w:r w:rsidRPr="00B80EC9">
        <w:rPr>
          <w:sz w:val="20"/>
          <w:szCs w:val="20"/>
        </w:rPr>
        <w:t>o konzervativnější formu investice s nižší mírou rizika</w:t>
      </w:r>
      <w:r w:rsidR="00D14C5E">
        <w:rPr>
          <w:sz w:val="20"/>
          <w:szCs w:val="20"/>
        </w:rPr>
        <w:t>,</w:t>
      </w:r>
      <w:r w:rsidRPr="00B80EC9">
        <w:rPr>
          <w:sz w:val="20"/>
          <w:szCs w:val="20"/>
        </w:rPr>
        <w:t xml:space="preserve"> jsou dluhopisové výnosy ve srovnání s akciemi nižší. Podle indexu agentury </w:t>
      </w:r>
      <w:proofErr w:type="spellStart"/>
      <w:r w:rsidRPr="00B80EC9">
        <w:rPr>
          <w:sz w:val="20"/>
          <w:szCs w:val="20"/>
        </w:rPr>
        <w:t>Bloomberg</w:t>
      </w:r>
      <w:proofErr w:type="spellEnd"/>
      <w:r w:rsidRPr="00B80EC9">
        <w:rPr>
          <w:sz w:val="20"/>
          <w:szCs w:val="20"/>
        </w:rPr>
        <w:t xml:space="preserve"> byla výkonnost státních dluhopisů za uplynulých 30 let v průměru 4,9 % ročně, na 50letém horizontu šlo pak v průměru o 6,8 % </w:t>
      </w:r>
      <w:proofErr w:type="spellStart"/>
      <w:r w:rsidRPr="00B80EC9">
        <w:rPr>
          <w:sz w:val="20"/>
          <w:szCs w:val="20"/>
        </w:rPr>
        <w:t>p.a</w:t>
      </w:r>
      <w:proofErr w:type="spellEnd"/>
      <w:r w:rsidRPr="00B80EC9">
        <w:rPr>
          <w:sz w:val="20"/>
          <w:szCs w:val="20"/>
        </w:rPr>
        <w:t xml:space="preserve">. </w:t>
      </w:r>
      <w:r w:rsidRPr="00B80EC9">
        <w:rPr>
          <w:b/>
          <w:bCs/>
          <w:sz w:val="20"/>
          <w:szCs w:val="20"/>
        </w:rPr>
        <w:t xml:space="preserve">Výnosy z akciových investic jsou </w:t>
      </w:r>
      <w:r w:rsidR="00D14C5E">
        <w:rPr>
          <w:b/>
          <w:bCs/>
          <w:sz w:val="20"/>
          <w:szCs w:val="20"/>
        </w:rPr>
        <w:t>tedy</w:t>
      </w:r>
      <w:r w:rsidRPr="00B80EC9">
        <w:rPr>
          <w:b/>
          <w:bCs/>
          <w:sz w:val="20"/>
          <w:szCs w:val="20"/>
        </w:rPr>
        <w:t xml:space="preserve"> zhruba o polovinu vyšší než v případě konzervativních státních dluhopisů.</w:t>
      </w:r>
    </w:p>
    <w:p w14:paraId="3786289D" w14:textId="77777777" w:rsidR="00D14C5E" w:rsidRPr="00B80EC9" w:rsidRDefault="00D14C5E" w:rsidP="00B80EC9">
      <w:pPr>
        <w:spacing w:after="0" w:line="240" w:lineRule="auto"/>
        <w:jc w:val="both"/>
        <w:rPr>
          <w:sz w:val="20"/>
          <w:szCs w:val="20"/>
        </w:rPr>
      </w:pPr>
    </w:p>
    <w:p w14:paraId="78CC3B35" w14:textId="2CA24A41" w:rsidR="006E1584" w:rsidRDefault="006E1584" w:rsidP="00B80EC9">
      <w:pPr>
        <w:spacing w:after="0" w:line="240" w:lineRule="auto"/>
        <w:jc w:val="both"/>
        <w:rPr>
          <w:sz w:val="20"/>
          <w:szCs w:val="20"/>
        </w:rPr>
      </w:pPr>
      <w:r w:rsidRPr="00B80EC9">
        <w:rPr>
          <w:sz w:val="20"/>
          <w:szCs w:val="20"/>
        </w:rPr>
        <w:t xml:space="preserve">Mnoho nástrojů, které jsou investorům na trhu dostupné, kombinuje jak akciovou, tak dluhopisovou složku. Dá se zjednodušeně </w:t>
      </w:r>
      <w:r w:rsidR="00F91190" w:rsidRPr="00B80EC9">
        <w:rPr>
          <w:sz w:val="20"/>
          <w:szCs w:val="20"/>
        </w:rPr>
        <w:t>říct</w:t>
      </w:r>
      <w:r w:rsidRPr="00B80EC9">
        <w:rPr>
          <w:sz w:val="20"/>
          <w:szCs w:val="20"/>
        </w:rPr>
        <w:t>, že dle jejich složení se pak odvíjí i výkonnost</w:t>
      </w:r>
      <w:r w:rsidR="00F91190">
        <w:rPr>
          <w:sz w:val="20"/>
          <w:szCs w:val="20"/>
        </w:rPr>
        <w:t>. Č</w:t>
      </w:r>
      <w:r w:rsidRPr="00B80EC9">
        <w:rPr>
          <w:sz w:val="20"/>
          <w:szCs w:val="20"/>
        </w:rPr>
        <w:t xml:space="preserve">ím více bude daný nástroj, například podílový fond, obsahovat akciové složky, tím bude výkonnost vyšší a blížit se akciové výkonnosti. Naopak více dluhopisové složky představuje výkonnost nižší. </w:t>
      </w:r>
    </w:p>
    <w:p w14:paraId="5A154473" w14:textId="77777777" w:rsidR="00D14C5E" w:rsidRPr="00B80EC9" w:rsidRDefault="00D14C5E" w:rsidP="00B80EC9">
      <w:pPr>
        <w:spacing w:after="0" w:line="240" w:lineRule="auto"/>
        <w:jc w:val="both"/>
        <w:rPr>
          <w:sz w:val="20"/>
          <w:szCs w:val="20"/>
        </w:rPr>
      </w:pPr>
    </w:p>
    <w:p w14:paraId="4E085EF5" w14:textId="566ED860" w:rsidR="006E1584" w:rsidRPr="00B80EC9" w:rsidRDefault="006E1584" w:rsidP="00B80EC9">
      <w:pPr>
        <w:spacing w:after="0" w:line="240" w:lineRule="auto"/>
        <w:jc w:val="both"/>
        <w:rPr>
          <w:b/>
          <w:bCs/>
          <w:sz w:val="20"/>
          <w:szCs w:val="20"/>
        </w:rPr>
      </w:pPr>
      <w:r w:rsidRPr="00B80EC9">
        <w:rPr>
          <w:b/>
          <w:bCs/>
          <w:sz w:val="20"/>
          <w:szCs w:val="20"/>
        </w:rPr>
        <w:t>S</w:t>
      </w:r>
      <w:r w:rsidR="00F91190">
        <w:rPr>
          <w:b/>
          <w:bCs/>
          <w:sz w:val="20"/>
          <w:szCs w:val="20"/>
        </w:rPr>
        <w:t xml:space="preserve"> </w:t>
      </w:r>
      <w:r w:rsidRPr="00B80EC9">
        <w:rPr>
          <w:b/>
          <w:bCs/>
          <w:sz w:val="20"/>
          <w:szCs w:val="20"/>
        </w:rPr>
        <w:t xml:space="preserve">aktuální absencí důchodové reformy a nepříznivým demografickým vývojem </w:t>
      </w:r>
      <w:r w:rsidR="003B0C6A">
        <w:rPr>
          <w:b/>
          <w:bCs/>
          <w:sz w:val="20"/>
          <w:szCs w:val="20"/>
        </w:rPr>
        <w:t xml:space="preserve">představuje </w:t>
      </w:r>
      <w:r w:rsidRPr="00B80EC9">
        <w:rPr>
          <w:b/>
          <w:bCs/>
          <w:sz w:val="20"/>
          <w:szCs w:val="20"/>
        </w:rPr>
        <w:t xml:space="preserve">jedinou možnost zajištění </w:t>
      </w:r>
      <w:r w:rsidR="003B0C6A">
        <w:rPr>
          <w:b/>
          <w:bCs/>
          <w:sz w:val="20"/>
          <w:szCs w:val="20"/>
        </w:rPr>
        <w:br/>
      </w:r>
      <w:r w:rsidRPr="00B80EC9">
        <w:rPr>
          <w:b/>
          <w:bCs/>
          <w:sz w:val="20"/>
          <w:szCs w:val="20"/>
        </w:rPr>
        <w:t>si dostatečného bohatství na stáří vlastní investování. Krátkodobé vyhlídky mzdového vývoje říkají, že nás spíše čekají těžší roky, a proto by měl každý přemýšlet nad osobními financemi ve více rovinách a spoléhat se v zajištění hlavně sám na sebe. Díky současné demokratizaci a dostupnosti investování</w:t>
      </w:r>
      <w:r w:rsidR="00F91190">
        <w:rPr>
          <w:b/>
          <w:bCs/>
          <w:sz w:val="20"/>
          <w:szCs w:val="20"/>
        </w:rPr>
        <w:t xml:space="preserve">, </w:t>
      </w:r>
      <w:r w:rsidRPr="00B80EC9">
        <w:rPr>
          <w:b/>
          <w:bCs/>
          <w:sz w:val="20"/>
          <w:szCs w:val="20"/>
        </w:rPr>
        <w:t>a</w:t>
      </w:r>
      <w:r w:rsidR="003B0C6A">
        <w:rPr>
          <w:b/>
          <w:bCs/>
          <w:sz w:val="20"/>
          <w:szCs w:val="20"/>
        </w:rPr>
        <w:t xml:space="preserve"> </w:t>
      </w:r>
      <w:r w:rsidRPr="00B80EC9">
        <w:rPr>
          <w:b/>
          <w:bCs/>
          <w:sz w:val="20"/>
          <w:szCs w:val="20"/>
        </w:rPr>
        <w:t>informací</w:t>
      </w:r>
      <w:r w:rsidR="003B0C6A">
        <w:rPr>
          <w:b/>
          <w:bCs/>
          <w:sz w:val="20"/>
          <w:szCs w:val="20"/>
        </w:rPr>
        <w:t>m</w:t>
      </w:r>
      <w:r w:rsidRPr="00B80EC9">
        <w:rPr>
          <w:b/>
          <w:bCs/>
          <w:sz w:val="20"/>
          <w:szCs w:val="20"/>
        </w:rPr>
        <w:t xml:space="preserve"> o investicích, má každý k dispozici paletu nástrojů, které může pro investování využít.</w:t>
      </w:r>
    </w:p>
    <w:tbl>
      <w:tblPr>
        <w:tblStyle w:val="Mkatabulky"/>
        <w:tblpPr w:leftFromText="142" w:rightFromText="142" w:vertAnchor="page" w:horzAnchor="margin" w:tblpY="89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2982"/>
        <w:gridCol w:w="2659"/>
      </w:tblGrid>
      <w:tr w:rsidR="002E5D19" w:rsidRPr="00B80EC9" w14:paraId="3B2CDC55" w14:textId="77777777" w:rsidTr="002E5D19">
        <w:trPr>
          <w:trHeight w:val="284"/>
        </w:trPr>
        <w:tc>
          <w:tcPr>
            <w:tcW w:w="2122" w:type="dxa"/>
            <w:tcBorders>
              <w:top w:val="single" w:sz="8" w:space="0" w:color="A6A6A6" w:themeColor="background1" w:themeShade="A6"/>
            </w:tcBorders>
          </w:tcPr>
          <w:p w14:paraId="106E2904" w14:textId="77777777" w:rsidR="002E5D19" w:rsidRPr="00B80EC9" w:rsidRDefault="002E5D19" w:rsidP="002E5D19">
            <w:pPr>
              <w:pStyle w:val="Zpat"/>
              <w:jc w:val="both"/>
              <w:rPr>
                <w:rFonts w:asciiTheme="majorHAnsi" w:hAnsiTheme="majorHAnsi"/>
                <w:color w:val="FFC832" w:themeColor="background2"/>
                <w:sz w:val="20"/>
                <w:szCs w:val="20"/>
              </w:rPr>
            </w:pPr>
          </w:p>
        </w:tc>
        <w:tc>
          <w:tcPr>
            <w:tcW w:w="8334" w:type="dxa"/>
            <w:gridSpan w:val="3"/>
            <w:tcBorders>
              <w:top w:val="single" w:sz="8" w:space="0" w:color="A6A6A6" w:themeColor="background1" w:themeShade="A6"/>
            </w:tcBorders>
          </w:tcPr>
          <w:p w14:paraId="6D283958" w14:textId="77777777" w:rsidR="002E5D19" w:rsidRPr="00B80EC9" w:rsidRDefault="002E5D19" w:rsidP="002E5D19">
            <w:pPr>
              <w:pStyle w:val="Zpat"/>
              <w:jc w:val="both"/>
              <w:rPr>
                <w:sz w:val="20"/>
                <w:szCs w:val="20"/>
              </w:rPr>
            </w:pPr>
          </w:p>
        </w:tc>
      </w:tr>
      <w:tr w:rsidR="002E5D19" w:rsidRPr="00B80EC9" w14:paraId="6D75876C" w14:textId="77777777" w:rsidTr="002E5D19">
        <w:trPr>
          <w:trHeight w:val="1127"/>
        </w:trPr>
        <w:tc>
          <w:tcPr>
            <w:tcW w:w="2122" w:type="dxa"/>
          </w:tcPr>
          <w:p w14:paraId="430D69FE" w14:textId="77777777" w:rsidR="002E5D19" w:rsidRPr="00B80EC9" w:rsidRDefault="002E5D19" w:rsidP="002E5D19">
            <w:pPr>
              <w:pStyle w:val="Zpat"/>
              <w:jc w:val="both"/>
              <w:rPr>
                <w:rFonts w:asciiTheme="majorHAnsi" w:hAnsiTheme="majorHAnsi"/>
                <w:sz w:val="20"/>
                <w:szCs w:val="20"/>
              </w:rPr>
            </w:pPr>
            <w:r w:rsidRPr="00B80EC9">
              <w:rPr>
                <w:rFonts w:asciiTheme="majorHAnsi" w:hAnsiTheme="majorHAnsi"/>
                <w:color w:val="FFC832" w:themeColor="background2"/>
                <w:sz w:val="20"/>
                <w:szCs w:val="20"/>
              </w:rPr>
              <w:t>Investujte.</w:t>
            </w:r>
            <w:r w:rsidRPr="00B80EC9">
              <w:rPr>
                <w:rFonts w:asciiTheme="majorHAnsi" w:hAnsiTheme="majorHAnsi"/>
                <w:color w:val="FFC832" w:themeColor="background2"/>
                <w:sz w:val="20"/>
                <w:szCs w:val="20"/>
              </w:rPr>
              <w:br/>
              <w:t>CYRRUS</w:t>
            </w:r>
          </w:p>
        </w:tc>
        <w:tc>
          <w:tcPr>
            <w:tcW w:w="8334" w:type="dxa"/>
            <w:gridSpan w:val="3"/>
          </w:tcPr>
          <w:p w14:paraId="74A80931" w14:textId="77777777" w:rsidR="002E5D19" w:rsidRPr="00B80EC9" w:rsidRDefault="002E5D19" w:rsidP="002E5D19">
            <w:pPr>
              <w:pStyle w:val="Zpat"/>
              <w:jc w:val="both"/>
              <w:rPr>
                <w:sz w:val="20"/>
                <w:szCs w:val="20"/>
              </w:rPr>
            </w:pPr>
            <w:r w:rsidRPr="00B80EC9">
              <w:rPr>
                <w:sz w:val="20"/>
                <w:szCs w:val="20"/>
              </w:rPr>
              <w:t>V roce 1995 jsme se vydali na cestu brokera. 25 let obchodujeme s cennými papíry, staráme se o své klienty, reagujeme na dění ve světě a rozvíjíme se. Díky tomu vám můžeme přinášet stále nové služby a inovativní možnosti investování. Jsme CYRRUS.</w:t>
            </w:r>
          </w:p>
        </w:tc>
      </w:tr>
      <w:tr w:rsidR="002E5D19" w:rsidRPr="00B80EC9" w14:paraId="3AB61FF8" w14:textId="77777777" w:rsidTr="002E5D19">
        <w:trPr>
          <w:trHeight w:val="1895"/>
        </w:trPr>
        <w:tc>
          <w:tcPr>
            <w:tcW w:w="2122" w:type="dxa"/>
            <w:vMerge w:val="restart"/>
          </w:tcPr>
          <w:p w14:paraId="50D9265B" w14:textId="77777777" w:rsidR="002E5D19" w:rsidRPr="00B80EC9" w:rsidRDefault="009005E7" w:rsidP="002E5D19">
            <w:pPr>
              <w:pStyle w:val="Zpat"/>
              <w:jc w:val="both"/>
              <w:rPr>
                <w:sz w:val="20"/>
                <w:szCs w:val="20"/>
              </w:rPr>
            </w:pPr>
            <w:hyperlink r:id="rId17" w:history="1">
              <w:r w:rsidR="002E5D19" w:rsidRPr="00B80EC9">
                <w:rPr>
                  <w:rStyle w:val="Hypertextovodkaz"/>
                  <w:sz w:val="20"/>
                  <w:szCs w:val="20"/>
                </w:rPr>
                <w:t>Loga ke stažení</w:t>
              </w:r>
            </w:hyperlink>
          </w:p>
          <w:p w14:paraId="35A14F18" w14:textId="77777777" w:rsidR="002E5D19" w:rsidRPr="00B80EC9" w:rsidRDefault="009005E7" w:rsidP="002E5D19">
            <w:pPr>
              <w:pStyle w:val="Zpat"/>
              <w:jc w:val="both"/>
              <w:rPr>
                <w:sz w:val="20"/>
                <w:szCs w:val="20"/>
              </w:rPr>
            </w:pPr>
            <w:hyperlink r:id="rId18" w:history="1">
              <w:r w:rsidR="002E5D19" w:rsidRPr="00B80EC9">
                <w:rPr>
                  <w:rStyle w:val="Hypertextovodkaz"/>
                  <w:sz w:val="20"/>
                  <w:szCs w:val="20"/>
                </w:rPr>
                <w:t>Obecné fotografie</w:t>
              </w:r>
            </w:hyperlink>
          </w:p>
          <w:p w14:paraId="086423FD" w14:textId="77777777" w:rsidR="002E5D19" w:rsidRPr="00B80EC9" w:rsidRDefault="002E5D19" w:rsidP="002E5D19">
            <w:pPr>
              <w:pStyle w:val="Zpat"/>
              <w:rPr>
                <w:sz w:val="20"/>
                <w:szCs w:val="20"/>
              </w:rPr>
            </w:pPr>
            <w:r w:rsidRPr="00B80EC9">
              <w:rPr>
                <w:sz w:val="20"/>
                <w:szCs w:val="20"/>
              </w:rPr>
              <w:t>Název společnosti píšeme velkými písmeny a neskloňujeme.</w:t>
            </w:r>
          </w:p>
          <w:p w14:paraId="04C55357" w14:textId="77777777" w:rsidR="002E5D19" w:rsidRPr="00B80EC9" w:rsidRDefault="002E5D19" w:rsidP="002E5D19">
            <w:pPr>
              <w:pStyle w:val="Zpat"/>
              <w:rPr>
                <w:sz w:val="20"/>
                <w:szCs w:val="20"/>
                <w:lang w:val="en-US"/>
              </w:rPr>
            </w:pPr>
            <w:r w:rsidRPr="00B80EC9">
              <w:rPr>
                <w:sz w:val="20"/>
                <w:szCs w:val="20"/>
              </w:rPr>
              <w:t xml:space="preserve">Vyslovujeme </w:t>
            </w:r>
            <w:r w:rsidRPr="00B80EC9">
              <w:rPr>
                <w:sz w:val="20"/>
                <w:szCs w:val="20"/>
                <w:lang w:val="en-US"/>
              </w:rPr>
              <w:t>[CYRRUS].</w:t>
            </w:r>
          </w:p>
          <w:p w14:paraId="211AED73" w14:textId="77777777" w:rsidR="002E5D19" w:rsidRPr="00B80EC9" w:rsidRDefault="009005E7" w:rsidP="002E5D19">
            <w:pPr>
              <w:pStyle w:val="Zpat"/>
              <w:jc w:val="both"/>
              <w:rPr>
                <w:sz w:val="20"/>
                <w:szCs w:val="20"/>
              </w:rPr>
            </w:pPr>
            <w:hyperlink r:id="rId19" w:history="1">
              <w:r w:rsidR="002E5D19" w:rsidRPr="00B80EC9">
                <w:rPr>
                  <w:rStyle w:val="Hypertextovodkaz"/>
                  <w:sz w:val="20"/>
                  <w:szCs w:val="20"/>
                </w:rPr>
                <w:t>WWW.CYRRUS.CZ</w:t>
              </w:r>
            </w:hyperlink>
          </w:p>
        </w:tc>
        <w:tc>
          <w:tcPr>
            <w:tcW w:w="2693" w:type="dxa"/>
          </w:tcPr>
          <w:p w14:paraId="21141B23" w14:textId="77777777" w:rsidR="002E5D19" w:rsidRPr="00B80EC9" w:rsidRDefault="002E5D19" w:rsidP="002E5D19">
            <w:pPr>
              <w:pStyle w:val="Zpat"/>
              <w:jc w:val="center"/>
              <w:rPr>
                <w:sz w:val="20"/>
                <w:szCs w:val="20"/>
              </w:rPr>
            </w:pPr>
            <w:r w:rsidRPr="00B80EC9">
              <w:rPr>
                <w:noProof/>
                <w:sz w:val="20"/>
                <w:szCs w:val="20"/>
                <w:lang w:eastAsia="cs-CZ"/>
              </w:rPr>
              <w:drawing>
                <wp:inline distT="0" distB="0" distL="0" distR="0" wp14:anchorId="5398C635" wp14:editId="26F8C0E3">
                  <wp:extent cx="1104680" cy="1104680"/>
                  <wp:effectExtent l="0" t="0" r="635" b="635"/>
                  <wp:docPr id="876" name="Obrázek 876" descr="Obsah obrázku text, muž, osoba, noš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Obrázek 876" descr="Obsah obrázku text, muž, osoba, nošení&#10;&#10;Popis byl vytvořen automaticky"/>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982" w:type="dxa"/>
          </w:tcPr>
          <w:p w14:paraId="1B61D6B3" w14:textId="77777777" w:rsidR="002E5D19" w:rsidRPr="00B80EC9" w:rsidRDefault="002E5D19" w:rsidP="002E5D19">
            <w:pPr>
              <w:pStyle w:val="Zpat"/>
              <w:jc w:val="center"/>
              <w:rPr>
                <w:sz w:val="20"/>
                <w:szCs w:val="20"/>
              </w:rPr>
            </w:pPr>
            <w:r w:rsidRPr="00B80EC9">
              <w:rPr>
                <w:noProof/>
                <w:sz w:val="20"/>
                <w:szCs w:val="20"/>
                <w:lang w:eastAsia="cs-CZ"/>
              </w:rPr>
              <w:drawing>
                <wp:inline distT="0" distB="0" distL="0" distR="0" wp14:anchorId="300C91F1" wp14:editId="6D479D58">
                  <wp:extent cx="1136488" cy="1136488"/>
                  <wp:effectExtent l="0" t="0" r="6985" b="6985"/>
                  <wp:docPr id="877" name="Obrázek 877" descr="Obsah obrázku text, osoba, žlutá,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Obrázek 877" descr="Obsah obrázku text, osoba, žlutá, podepsat&#10;&#10;Popis byl vytvořen automaticky"/>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659" w:type="dxa"/>
          </w:tcPr>
          <w:p w14:paraId="1376415C" w14:textId="77777777" w:rsidR="002E5D19" w:rsidRPr="00B80EC9" w:rsidRDefault="002E5D19" w:rsidP="002E5D19">
            <w:pPr>
              <w:pStyle w:val="Zpat"/>
              <w:jc w:val="center"/>
              <w:rPr>
                <w:sz w:val="20"/>
                <w:szCs w:val="20"/>
              </w:rPr>
            </w:pPr>
            <w:r w:rsidRPr="00B80EC9">
              <w:rPr>
                <w:noProof/>
                <w:sz w:val="20"/>
                <w:szCs w:val="20"/>
                <w:lang w:eastAsia="cs-CZ"/>
              </w:rPr>
              <w:drawing>
                <wp:inline distT="0" distB="0" distL="0" distR="0" wp14:anchorId="6F6C2E27" wp14:editId="243391AB">
                  <wp:extent cx="1136488" cy="1136488"/>
                  <wp:effectExtent l="0" t="0" r="6985" b="6985"/>
                  <wp:docPr id="878" name="Obrázek 878" descr="Obsah obrázku text, vázanka, osoba,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Obrázek 878" descr="Obsah obrázku text, vázanka, osoba, muž&#10;&#10;Popis byl vytvořen automaticky"/>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r>
      <w:tr w:rsidR="002E5D19" w:rsidRPr="00B80EC9" w14:paraId="282AF9EB" w14:textId="77777777" w:rsidTr="002E5D19">
        <w:tc>
          <w:tcPr>
            <w:tcW w:w="2122" w:type="dxa"/>
            <w:vMerge/>
          </w:tcPr>
          <w:p w14:paraId="77F533BF" w14:textId="77777777" w:rsidR="002E5D19" w:rsidRPr="00B80EC9" w:rsidRDefault="002E5D19" w:rsidP="002E5D19">
            <w:pPr>
              <w:pStyle w:val="Zpat"/>
              <w:jc w:val="both"/>
              <w:rPr>
                <w:sz w:val="20"/>
                <w:szCs w:val="20"/>
              </w:rPr>
            </w:pPr>
          </w:p>
        </w:tc>
        <w:tc>
          <w:tcPr>
            <w:tcW w:w="2693" w:type="dxa"/>
          </w:tcPr>
          <w:p w14:paraId="14CF319B" w14:textId="77777777" w:rsidR="002E5D19" w:rsidRPr="00B80EC9" w:rsidRDefault="002E5D19" w:rsidP="00BF5CA3">
            <w:pPr>
              <w:pStyle w:val="Zpat"/>
              <w:jc w:val="center"/>
              <w:rPr>
                <w:rFonts w:ascii="Nexa Text Extra Bold" w:hAnsi="Nexa Text Extra Bold"/>
                <w:b/>
                <w:sz w:val="20"/>
                <w:szCs w:val="20"/>
              </w:rPr>
            </w:pPr>
            <w:r w:rsidRPr="00B80EC9">
              <w:rPr>
                <w:rFonts w:ascii="Nexa Text Extra Bold" w:hAnsi="Nexa Text Extra Bold"/>
                <w:b/>
                <w:sz w:val="20"/>
                <w:szCs w:val="20"/>
              </w:rPr>
              <w:t>Ing. Marek Hatlapatka</w:t>
            </w:r>
          </w:p>
          <w:p w14:paraId="6BAECDAA" w14:textId="5AEDFD75" w:rsidR="002E5D19" w:rsidRPr="00B80EC9" w:rsidRDefault="00BF5CA3" w:rsidP="00BF5CA3">
            <w:pPr>
              <w:pStyle w:val="Zpat"/>
              <w:jc w:val="center"/>
              <w:rPr>
                <w:sz w:val="20"/>
                <w:szCs w:val="20"/>
              </w:rPr>
            </w:pPr>
            <w:r>
              <w:rPr>
                <w:sz w:val="20"/>
                <w:szCs w:val="20"/>
              </w:rPr>
              <w:t>ř</w:t>
            </w:r>
            <w:r w:rsidR="002E5D19" w:rsidRPr="00B80EC9">
              <w:rPr>
                <w:sz w:val="20"/>
                <w:szCs w:val="20"/>
              </w:rPr>
              <w:t xml:space="preserve">editel </w:t>
            </w:r>
          </w:p>
        </w:tc>
        <w:tc>
          <w:tcPr>
            <w:tcW w:w="2982" w:type="dxa"/>
          </w:tcPr>
          <w:p w14:paraId="2C14E21A" w14:textId="77777777" w:rsidR="002E5D19" w:rsidRPr="00B80EC9" w:rsidRDefault="002E5D19" w:rsidP="00BF5CA3">
            <w:pPr>
              <w:pStyle w:val="Zpat"/>
              <w:jc w:val="center"/>
              <w:rPr>
                <w:rFonts w:ascii="Nexa Text Extra Bold" w:hAnsi="Nexa Text Extra Bold"/>
                <w:b/>
                <w:sz w:val="20"/>
                <w:szCs w:val="20"/>
              </w:rPr>
            </w:pPr>
            <w:r w:rsidRPr="00B80EC9">
              <w:rPr>
                <w:rFonts w:ascii="Nexa Text Extra Bold" w:hAnsi="Nexa Text Extra Bold"/>
                <w:b/>
                <w:sz w:val="20"/>
                <w:szCs w:val="20"/>
              </w:rPr>
              <w:t>Ing. Anna Píchová</w:t>
            </w:r>
          </w:p>
          <w:p w14:paraId="3832D64A" w14:textId="34AF7AF9" w:rsidR="002E5D19" w:rsidRPr="00B80EC9" w:rsidRDefault="00BF5CA3" w:rsidP="00BF5CA3">
            <w:pPr>
              <w:pStyle w:val="Zpat"/>
              <w:jc w:val="center"/>
              <w:rPr>
                <w:sz w:val="20"/>
                <w:szCs w:val="20"/>
              </w:rPr>
            </w:pPr>
            <w:r>
              <w:rPr>
                <w:sz w:val="20"/>
                <w:szCs w:val="20"/>
              </w:rPr>
              <w:t>v</w:t>
            </w:r>
            <w:r w:rsidR="002E5D19" w:rsidRPr="00B80EC9">
              <w:rPr>
                <w:sz w:val="20"/>
                <w:szCs w:val="20"/>
              </w:rPr>
              <w:t xml:space="preserve">edoucí analytického oddělení </w:t>
            </w:r>
          </w:p>
        </w:tc>
        <w:tc>
          <w:tcPr>
            <w:tcW w:w="2659" w:type="dxa"/>
          </w:tcPr>
          <w:p w14:paraId="11539C5E" w14:textId="77777777" w:rsidR="002E5D19" w:rsidRPr="00B80EC9" w:rsidRDefault="002E5D19" w:rsidP="00BF5CA3">
            <w:pPr>
              <w:pStyle w:val="Zpat"/>
              <w:jc w:val="center"/>
              <w:rPr>
                <w:rFonts w:ascii="Nexa Text Extra Bold" w:hAnsi="Nexa Text Extra Bold"/>
                <w:b/>
                <w:sz w:val="20"/>
                <w:szCs w:val="20"/>
              </w:rPr>
            </w:pPr>
            <w:r w:rsidRPr="00B80EC9">
              <w:rPr>
                <w:rFonts w:ascii="Nexa Text Extra Bold" w:hAnsi="Nexa Text Extra Bold"/>
                <w:b/>
                <w:sz w:val="20"/>
                <w:szCs w:val="20"/>
              </w:rPr>
              <w:t>Tomáš Pfeiler, CFA</w:t>
            </w:r>
          </w:p>
          <w:p w14:paraId="4FA28090" w14:textId="4B0D61FF" w:rsidR="002E5D19" w:rsidRPr="00B80EC9" w:rsidRDefault="002E5D19" w:rsidP="00BF5CA3">
            <w:pPr>
              <w:pStyle w:val="Zpat"/>
              <w:jc w:val="center"/>
              <w:rPr>
                <w:sz w:val="20"/>
                <w:szCs w:val="20"/>
              </w:rPr>
            </w:pPr>
            <w:r w:rsidRPr="00B80EC9">
              <w:rPr>
                <w:sz w:val="20"/>
                <w:szCs w:val="20"/>
              </w:rPr>
              <w:t xml:space="preserve">portfolio manažer </w:t>
            </w:r>
          </w:p>
        </w:tc>
      </w:tr>
      <w:tr w:rsidR="002E5D19" w:rsidRPr="00B80EC9" w14:paraId="4380D24E" w14:textId="77777777" w:rsidTr="002E5D19">
        <w:tc>
          <w:tcPr>
            <w:tcW w:w="2122" w:type="dxa"/>
            <w:vMerge/>
          </w:tcPr>
          <w:p w14:paraId="13C26B8A" w14:textId="77777777" w:rsidR="002E5D19" w:rsidRPr="00B80EC9" w:rsidRDefault="002E5D19" w:rsidP="002E5D19">
            <w:pPr>
              <w:pStyle w:val="Zpat"/>
              <w:jc w:val="both"/>
              <w:rPr>
                <w:sz w:val="20"/>
                <w:szCs w:val="20"/>
              </w:rPr>
            </w:pPr>
          </w:p>
        </w:tc>
        <w:tc>
          <w:tcPr>
            <w:tcW w:w="2693" w:type="dxa"/>
          </w:tcPr>
          <w:p w14:paraId="24A44555" w14:textId="77777777" w:rsidR="002E5D19" w:rsidRPr="00B80EC9" w:rsidRDefault="002E5D19" w:rsidP="002E5D19">
            <w:pPr>
              <w:jc w:val="center"/>
              <w:rPr>
                <w:sz w:val="20"/>
                <w:szCs w:val="20"/>
              </w:rPr>
            </w:pPr>
            <w:r w:rsidRPr="00B80EC9">
              <w:rPr>
                <w:sz w:val="20"/>
                <w:szCs w:val="20"/>
              </w:rPr>
              <w:t>603 881 534</w:t>
            </w:r>
            <w:r w:rsidRPr="00B80EC9">
              <w:rPr>
                <w:sz w:val="20"/>
                <w:szCs w:val="20"/>
              </w:rPr>
              <w:br/>
              <w:t>538 705 743</w:t>
            </w:r>
            <w:r w:rsidRPr="00B80EC9">
              <w:rPr>
                <w:sz w:val="20"/>
                <w:szCs w:val="20"/>
              </w:rPr>
              <w:br/>
              <w:t>marek.hatlapatka@cyrrus.cz</w:t>
            </w:r>
          </w:p>
        </w:tc>
        <w:tc>
          <w:tcPr>
            <w:tcW w:w="2982" w:type="dxa"/>
          </w:tcPr>
          <w:p w14:paraId="4D048A32" w14:textId="77777777" w:rsidR="002E5D19" w:rsidRPr="00B80EC9" w:rsidRDefault="002E5D19" w:rsidP="002E5D19">
            <w:pPr>
              <w:jc w:val="center"/>
              <w:rPr>
                <w:sz w:val="20"/>
                <w:szCs w:val="20"/>
              </w:rPr>
            </w:pPr>
            <w:r w:rsidRPr="00B80EC9">
              <w:rPr>
                <w:sz w:val="20"/>
                <w:szCs w:val="20"/>
              </w:rPr>
              <w:t>608 263 469</w:t>
            </w:r>
          </w:p>
          <w:p w14:paraId="42368278" w14:textId="77777777" w:rsidR="002E5D19" w:rsidRPr="00B80EC9" w:rsidRDefault="002E5D19" w:rsidP="002E5D19">
            <w:pPr>
              <w:jc w:val="center"/>
              <w:rPr>
                <w:sz w:val="20"/>
                <w:szCs w:val="20"/>
              </w:rPr>
            </w:pPr>
            <w:r w:rsidRPr="00B80EC9">
              <w:rPr>
                <w:sz w:val="20"/>
                <w:szCs w:val="20"/>
              </w:rPr>
              <w:t>538 705 765</w:t>
            </w:r>
            <w:r w:rsidRPr="00B80EC9">
              <w:rPr>
                <w:sz w:val="20"/>
                <w:szCs w:val="20"/>
              </w:rPr>
              <w:br/>
              <w:t>anna.pichova@cyrrus.cz</w:t>
            </w:r>
          </w:p>
        </w:tc>
        <w:tc>
          <w:tcPr>
            <w:tcW w:w="2659" w:type="dxa"/>
          </w:tcPr>
          <w:p w14:paraId="40381B6C" w14:textId="77777777" w:rsidR="002E5D19" w:rsidRPr="00B80EC9" w:rsidRDefault="002E5D19" w:rsidP="002E5D19">
            <w:pPr>
              <w:pStyle w:val="Zpat"/>
              <w:jc w:val="center"/>
              <w:rPr>
                <w:sz w:val="20"/>
                <w:szCs w:val="20"/>
              </w:rPr>
            </w:pPr>
            <w:r w:rsidRPr="00B80EC9">
              <w:rPr>
                <w:sz w:val="20"/>
                <w:szCs w:val="20"/>
              </w:rPr>
              <w:t>277 021 819</w:t>
            </w:r>
            <w:r w:rsidRPr="00B80EC9">
              <w:rPr>
                <w:sz w:val="20"/>
                <w:szCs w:val="20"/>
              </w:rPr>
              <w:br/>
              <w:t>tomas.pfeiler@cyrrus.cz</w:t>
            </w:r>
          </w:p>
        </w:tc>
      </w:tr>
      <w:tr w:rsidR="002E5D19" w:rsidRPr="00B80EC9" w14:paraId="6379D2CC" w14:textId="77777777" w:rsidTr="002E5D19">
        <w:trPr>
          <w:trHeight w:val="480"/>
        </w:trPr>
        <w:tc>
          <w:tcPr>
            <w:tcW w:w="2122" w:type="dxa"/>
            <w:vMerge/>
          </w:tcPr>
          <w:p w14:paraId="4010CC88" w14:textId="77777777" w:rsidR="002E5D19" w:rsidRPr="00B80EC9" w:rsidRDefault="002E5D19" w:rsidP="002E5D19">
            <w:pPr>
              <w:pStyle w:val="Zpat"/>
              <w:jc w:val="both"/>
              <w:rPr>
                <w:sz w:val="20"/>
                <w:szCs w:val="20"/>
              </w:rPr>
            </w:pPr>
          </w:p>
        </w:tc>
        <w:tc>
          <w:tcPr>
            <w:tcW w:w="2693" w:type="dxa"/>
            <w:vAlign w:val="center"/>
          </w:tcPr>
          <w:p w14:paraId="5F836136" w14:textId="77777777" w:rsidR="002E5D19" w:rsidRPr="00B80EC9" w:rsidRDefault="009005E7" w:rsidP="002E5D19">
            <w:pPr>
              <w:jc w:val="center"/>
              <w:rPr>
                <w:sz w:val="20"/>
                <w:szCs w:val="20"/>
              </w:rPr>
            </w:pPr>
            <w:hyperlink r:id="rId23" w:history="1">
              <w:r w:rsidR="002E5D19" w:rsidRPr="00B80EC9">
                <w:rPr>
                  <w:rStyle w:val="Hypertextovodkaz"/>
                  <w:sz w:val="20"/>
                  <w:szCs w:val="20"/>
                </w:rPr>
                <w:t>Fotografie</w:t>
              </w:r>
            </w:hyperlink>
          </w:p>
        </w:tc>
        <w:tc>
          <w:tcPr>
            <w:tcW w:w="2982" w:type="dxa"/>
            <w:vAlign w:val="center"/>
          </w:tcPr>
          <w:p w14:paraId="4E352C5C" w14:textId="77777777" w:rsidR="002E5D19" w:rsidRPr="00B80EC9" w:rsidRDefault="009005E7" w:rsidP="002E5D19">
            <w:pPr>
              <w:jc w:val="center"/>
              <w:rPr>
                <w:sz w:val="20"/>
                <w:szCs w:val="20"/>
              </w:rPr>
            </w:pPr>
            <w:hyperlink r:id="rId24" w:history="1">
              <w:r w:rsidR="002E5D19" w:rsidRPr="00B80EC9">
                <w:rPr>
                  <w:rStyle w:val="Hypertextovodkaz"/>
                  <w:sz w:val="20"/>
                  <w:szCs w:val="20"/>
                </w:rPr>
                <w:t>Fotografie</w:t>
              </w:r>
            </w:hyperlink>
          </w:p>
        </w:tc>
        <w:tc>
          <w:tcPr>
            <w:tcW w:w="2659" w:type="dxa"/>
            <w:vAlign w:val="center"/>
          </w:tcPr>
          <w:p w14:paraId="68F393CB" w14:textId="77777777" w:rsidR="002E5D19" w:rsidRPr="00B80EC9" w:rsidRDefault="009005E7" w:rsidP="002E5D19">
            <w:pPr>
              <w:pStyle w:val="Zpat"/>
              <w:jc w:val="center"/>
              <w:rPr>
                <w:sz w:val="20"/>
                <w:szCs w:val="20"/>
              </w:rPr>
            </w:pPr>
            <w:hyperlink r:id="rId25" w:history="1">
              <w:r w:rsidR="002E5D19" w:rsidRPr="00B80EC9">
                <w:rPr>
                  <w:rStyle w:val="Hypertextovodkaz"/>
                  <w:sz w:val="20"/>
                  <w:szCs w:val="20"/>
                </w:rPr>
                <w:t>Fotografie</w:t>
              </w:r>
            </w:hyperlink>
          </w:p>
        </w:tc>
      </w:tr>
    </w:tbl>
    <w:p w14:paraId="2D91AFAF" w14:textId="19FEF0A4" w:rsidR="007B33CA" w:rsidRPr="00B80EC9" w:rsidRDefault="007B33CA" w:rsidP="002E5D19">
      <w:pPr>
        <w:spacing w:after="0" w:line="240" w:lineRule="auto"/>
        <w:rPr>
          <w:sz w:val="20"/>
          <w:szCs w:val="20"/>
        </w:rPr>
      </w:pPr>
    </w:p>
    <w:sectPr w:rsidR="007B33CA" w:rsidRPr="00B80EC9" w:rsidSect="00AF5295">
      <w:headerReference w:type="default" r:id="rId26"/>
      <w:pgSz w:w="11906" w:h="16838"/>
      <w:pgMar w:top="720" w:right="720" w:bottom="426"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25F6" w14:textId="77777777" w:rsidR="009005E7" w:rsidRDefault="009005E7" w:rsidP="00605702">
      <w:pPr>
        <w:spacing w:after="0" w:line="240" w:lineRule="auto"/>
      </w:pPr>
      <w:r>
        <w:separator/>
      </w:r>
    </w:p>
  </w:endnote>
  <w:endnote w:type="continuationSeparator" w:id="0">
    <w:p w14:paraId="60FF0553" w14:textId="77777777" w:rsidR="009005E7" w:rsidRDefault="009005E7"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Nexa Text">
    <w:altName w:val="Calibri"/>
    <w:panose1 w:val="00000000000000000000"/>
    <w:charset w:val="00"/>
    <w:family w:val="modern"/>
    <w:notTrueType/>
    <w:pitch w:val="variable"/>
    <w:sig w:usb0="80000207" w:usb1="00000073" w:usb2="00000000" w:usb3="00000000" w:csb0="00000097" w:csb1="00000000"/>
  </w:font>
  <w:font w:name="Nexa Extra Bold">
    <w:altName w:val="Calibri"/>
    <w:panose1 w:val="00000000000000000000"/>
    <w:charset w:val="00"/>
    <w:family w:val="modern"/>
    <w:notTrueType/>
    <w:pitch w:val="variable"/>
    <w:sig w:usb0="80000207" w:usb1="00000073" w:usb2="00000000" w:usb3="00000000" w:csb0="00000097" w:csb1="00000000"/>
  </w:font>
  <w:font w:name="Calibri">
    <w:panose1 w:val="020F0502020204030204"/>
    <w:charset w:val="EE"/>
    <w:family w:val="swiss"/>
    <w:pitch w:val="variable"/>
    <w:sig w:usb0="E4002EFF" w:usb1="C000247B" w:usb2="00000009" w:usb3="00000000" w:csb0="000001FF" w:csb1="00000000"/>
  </w:font>
  <w:font w:name="Nexa Text Extra Bold">
    <w:altName w:val="Calibri"/>
    <w:panose1 w:val="00000000000000000000"/>
    <w:charset w:val="00"/>
    <w:family w:val="modern"/>
    <w:notTrueType/>
    <w:pitch w:val="variable"/>
    <w:sig w:usb0="80000207" w:usb1="00000073" w:usb2="00000000" w:usb3="00000000" w:csb0="00000097"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1251" w14:textId="77777777" w:rsidR="009005E7" w:rsidRDefault="009005E7" w:rsidP="00605702">
      <w:pPr>
        <w:spacing w:after="0" w:line="240" w:lineRule="auto"/>
      </w:pPr>
      <w:r>
        <w:separator/>
      </w:r>
    </w:p>
  </w:footnote>
  <w:footnote w:type="continuationSeparator" w:id="0">
    <w:p w14:paraId="18C70826" w14:textId="77777777" w:rsidR="009005E7" w:rsidRDefault="009005E7" w:rsidP="00605702">
      <w:pPr>
        <w:spacing w:after="0" w:line="240" w:lineRule="auto"/>
      </w:pPr>
      <w:r>
        <w:continuationSeparator/>
      </w:r>
    </w:p>
  </w:footnote>
  <w:footnote w:id="1">
    <w:p w14:paraId="283CECC4" w14:textId="05966569" w:rsidR="006E1584" w:rsidRDefault="006E1584">
      <w:pPr>
        <w:pStyle w:val="Textpoznpodarou"/>
      </w:pPr>
      <w:r>
        <w:rPr>
          <w:rStyle w:val="Znakapoznpodarou"/>
        </w:rPr>
        <w:footnoteRef/>
      </w:r>
      <w:r>
        <w:t xml:space="preserve"> </w:t>
      </w:r>
      <w:r w:rsidRPr="003E6132">
        <w:rPr>
          <w:sz w:val="16"/>
          <w:szCs w:val="16"/>
        </w:rPr>
        <w:t xml:space="preserve">Většina aktiv v penzijních fondech je v transformovaných fondech, které mají pod správou zhruba 420 mld. Kč (data z </w:t>
      </w:r>
      <w:hyperlink r:id="rId1" w:history="1">
        <w:r w:rsidRPr="003E6132">
          <w:rPr>
            <w:rStyle w:val="Hypertextovodkaz"/>
            <w:sz w:val="16"/>
            <w:szCs w:val="16"/>
          </w:rPr>
          <w:t>https://www.apscr.cz/</w:t>
        </w:r>
      </w:hyperlink>
      <w:r w:rsidRPr="003E6132">
        <w:rPr>
          <w:sz w:val="16"/>
          <w:szCs w:val="16"/>
        </w:rPr>
        <w:t>). Jejich konzervativní nastavení je pozůstatkem 3. pilíře důchodové reformy.</w:t>
      </w:r>
    </w:p>
  </w:footnote>
  <w:footnote w:id="2">
    <w:p w14:paraId="45691B03" w14:textId="77777777" w:rsidR="006E1584" w:rsidRDefault="006E1584" w:rsidP="006E1584">
      <w:pPr>
        <w:pStyle w:val="Textpoznpodarou"/>
      </w:pPr>
      <w:r>
        <w:rPr>
          <w:rStyle w:val="Znakapoznpodarou"/>
        </w:rPr>
        <w:footnoteRef/>
      </w:r>
      <w:r>
        <w:t xml:space="preserve"> </w:t>
      </w:r>
      <w:r w:rsidRPr="003E6132">
        <w:rPr>
          <w:sz w:val="16"/>
          <w:szCs w:val="16"/>
        </w:rPr>
        <w:t>Průměrný starobní důchod v České republice činí v letošním roce 15 336 Kč, tedy v průměru 50 % čisté průměrné mzdy.</w:t>
      </w:r>
    </w:p>
  </w:footnote>
  <w:footnote w:id="3">
    <w:p w14:paraId="6C3E096B" w14:textId="77777777" w:rsidR="006E1584" w:rsidRDefault="006E1584" w:rsidP="006E1584">
      <w:pPr>
        <w:pStyle w:val="Textpoznpodarou"/>
      </w:pPr>
      <w:r>
        <w:rPr>
          <w:rStyle w:val="Znakapoznpodarou"/>
        </w:rPr>
        <w:footnoteRef/>
      </w:r>
      <w:r>
        <w:t xml:space="preserve"> </w:t>
      </w:r>
      <w:r w:rsidRPr="003E6132">
        <w:rPr>
          <w:sz w:val="16"/>
          <w:szCs w:val="16"/>
        </w:rPr>
        <w:t xml:space="preserve">Zdroj: </w:t>
      </w:r>
      <w:hyperlink r:id="rId2" w:history="1">
        <w:r w:rsidRPr="003E6132">
          <w:rPr>
            <w:rStyle w:val="Hypertextovodkaz"/>
            <w:sz w:val="16"/>
            <w:szCs w:val="16"/>
          </w:rPr>
          <w:t>https://researchbriefings.files.parliament.uk/documents/SN00290/SN00290.pdf</w:t>
        </w:r>
      </w:hyperlink>
      <w:r w:rsidRPr="003E6132">
        <w:rPr>
          <w:sz w:val="16"/>
          <w:szCs w:val="16"/>
        </w:rPr>
        <w:t xml:space="preserve"> </w:t>
      </w:r>
    </w:p>
  </w:footnote>
  <w:footnote w:id="4">
    <w:p w14:paraId="639AFA47" w14:textId="662EED25" w:rsidR="006E1584" w:rsidRDefault="006E1584" w:rsidP="006E1584">
      <w:pPr>
        <w:pStyle w:val="Textpoznpodarou"/>
      </w:pPr>
      <w:r>
        <w:rPr>
          <w:rStyle w:val="Znakapoznpodarou"/>
        </w:rPr>
        <w:footnoteRef/>
      </w:r>
      <w:r>
        <w:t xml:space="preserve"> </w:t>
      </w:r>
      <w:r w:rsidRPr="004A4C67">
        <w:rPr>
          <w:sz w:val="16"/>
          <w:szCs w:val="16"/>
        </w:rPr>
        <w:t>Zohledněna sleva na poplatníka</w:t>
      </w:r>
      <w:r w:rsidR="00D14C5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FB18" w14:textId="6AB518BD" w:rsidR="00605702" w:rsidRPr="00A016E3" w:rsidRDefault="00C82E0C" w:rsidP="00723F0C">
    <w:pPr>
      <w:pStyle w:val="Nadpis1"/>
      <w:rPr>
        <w:rFonts w:eastAsiaTheme="minorHAnsi" w:cs="Arial"/>
        <w:color w:val="FFC832" w:themeColor="background2"/>
        <w:sz w:val="36"/>
        <w:szCs w:val="36"/>
      </w:rPr>
    </w:pPr>
    <w:r w:rsidRPr="00A016E3">
      <w:rPr>
        <w:noProof/>
        <w:color w:val="FFC832" w:themeColor="background2"/>
        <w:sz w:val="24"/>
      </w:rPr>
      <w:drawing>
        <wp:anchor distT="0" distB="0" distL="114300" distR="114300" simplePos="0" relativeHeight="251657216" behindDoc="1" locked="0" layoutInCell="1" allowOverlap="1" wp14:anchorId="3836EE65" wp14:editId="2E6461E6">
          <wp:simplePos x="0" y="0"/>
          <wp:positionH relativeFrom="column">
            <wp:posOffset>5199953</wp:posOffset>
          </wp:positionH>
          <wp:positionV relativeFrom="paragraph">
            <wp:posOffset>-101603</wp:posOffset>
          </wp:positionV>
          <wp:extent cx="1553919" cy="300424"/>
          <wp:effectExtent l="0" t="0" r="8255" b="444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00B80EC9">
      <w:rPr>
        <w:rFonts w:eastAsiaTheme="minorHAnsi" w:cs="Arial"/>
        <w:color w:val="FFC832" w:themeColor="background2"/>
        <w:sz w:val="18"/>
        <w:szCs w:val="36"/>
      </w:rPr>
      <w:t>Analýza</w:t>
    </w:r>
  </w:p>
  <w:p w14:paraId="1B9A7F05" w14:textId="77777777" w:rsidR="00605702" w:rsidRDefault="006057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DE"/>
    <w:rsid w:val="00104CBF"/>
    <w:rsid w:val="00190DC1"/>
    <w:rsid w:val="001C55BA"/>
    <w:rsid w:val="001C718D"/>
    <w:rsid w:val="002E5D19"/>
    <w:rsid w:val="003139ED"/>
    <w:rsid w:val="003141E3"/>
    <w:rsid w:val="00317CC4"/>
    <w:rsid w:val="00320A11"/>
    <w:rsid w:val="00324D55"/>
    <w:rsid w:val="00332635"/>
    <w:rsid w:val="00336DF1"/>
    <w:rsid w:val="003838B3"/>
    <w:rsid w:val="003961A5"/>
    <w:rsid w:val="003B0C6A"/>
    <w:rsid w:val="003B0F0D"/>
    <w:rsid w:val="003C3E45"/>
    <w:rsid w:val="003E6132"/>
    <w:rsid w:val="0043710C"/>
    <w:rsid w:val="00470B3A"/>
    <w:rsid w:val="00474D81"/>
    <w:rsid w:val="004928ED"/>
    <w:rsid w:val="00495056"/>
    <w:rsid w:val="004A4C67"/>
    <w:rsid w:val="004B29D1"/>
    <w:rsid w:val="004D29A1"/>
    <w:rsid w:val="004F0295"/>
    <w:rsid w:val="005C5BEB"/>
    <w:rsid w:val="005F7A56"/>
    <w:rsid w:val="006042FA"/>
    <w:rsid w:val="00605702"/>
    <w:rsid w:val="00613922"/>
    <w:rsid w:val="00615E14"/>
    <w:rsid w:val="00645568"/>
    <w:rsid w:val="00687909"/>
    <w:rsid w:val="006E1584"/>
    <w:rsid w:val="006F1487"/>
    <w:rsid w:val="00711148"/>
    <w:rsid w:val="00723F0C"/>
    <w:rsid w:val="00776D65"/>
    <w:rsid w:val="007B33CA"/>
    <w:rsid w:val="007E3734"/>
    <w:rsid w:val="007E58EA"/>
    <w:rsid w:val="007F4FFC"/>
    <w:rsid w:val="00801E6B"/>
    <w:rsid w:val="008125F8"/>
    <w:rsid w:val="00827498"/>
    <w:rsid w:val="008274D4"/>
    <w:rsid w:val="00866B0F"/>
    <w:rsid w:val="008969A5"/>
    <w:rsid w:val="008A5174"/>
    <w:rsid w:val="008B02AC"/>
    <w:rsid w:val="008B5CBF"/>
    <w:rsid w:val="008B6C25"/>
    <w:rsid w:val="009005E7"/>
    <w:rsid w:val="009257A9"/>
    <w:rsid w:val="009709AD"/>
    <w:rsid w:val="009A1CD3"/>
    <w:rsid w:val="009D0819"/>
    <w:rsid w:val="009D4FCD"/>
    <w:rsid w:val="009F1029"/>
    <w:rsid w:val="00A016E3"/>
    <w:rsid w:val="00A04BEB"/>
    <w:rsid w:val="00A574B8"/>
    <w:rsid w:val="00AB1AB4"/>
    <w:rsid w:val="00AB2B73"/>
    <w:rsid w:val="00AB685C"/>
    <w:rsid w:val="00AF5295"/>
    <w:rsid w:val="00B066E0"/>
    <w:rsid w:val="00B273EE"/>
    <w:rsid w:val="00B30D9F"/>
    <w:rsid w:val="00B80EC9"/>
    <w:rsid w:val="00BA63BA"/>
    <w:rsid w:val="00BF5CA3"/>
    <w:rsid w:val="00C139C7"/>
    <w:rsid w:val="00C756E6"/>
    <w:rsid w:val="00C81A45"/>
    <w:rsid w:val="00C82E0C"/>
    <w:rsid w:val="00C857EB"/>
    <w:rsid w:val="00C8580B"/>
    <w:rsid w:val="00C87DBE"/>
    <w:rsid w:val="00C90383"/>
    <w:rsid w:val="00CA4EFA"/>
    <w:rsid w:val="00D14C5E"/>
    <w:rsid w:val="00D172AE"/>
    <w:rsid w:val="00D22348"/>
    <w:rsid w:val="00D93C41"/>
    <w:rsid w:val="00DE0EDC"/>
    <w:rsid w:val="00E4423E"/>
    <w:rsid w:val="00EA4DDE"/>
    <w:rsid w:val="00EB54F4"/>
    <w:rsid w:val="00F27A33"/>
    <w:rsid w:val="00F31081"/>
    <w:rsid w:val="00F87BC7"/>
    <w:rsid w:val="00F91190"/>
    <w:rsid w:val="00FE4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0DED"/>
  <w15:chartTrackingRefBased/>
  <w15:docId w15:val="{B34D7ECB-3364-4272-BE17-3913848D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4C67"/>
    <w:rPr>
      <w:sz w:val="18"/>
    </w:rPr>
  </w:style>
  <w:style w:type="paragraph" w:styleId="Nadpis1">
    <w:name w:val="heading 1"/>
    <w:basedOn w:val="Normln"/>
    <w:link w:val="Nadpis1Char"/>
    <w:uiPriority w:val="9"/>
    <w:qFormat/>
    <w:rsid w:val="00AB1AB4"/>
    <w:pPr>
      <w:spacing w:before="100" w:beforeAutospacing="1" w:after="100" w:afterAutospacing="1" w:line="240" w:lineRule="auto"/>
      <w:outlineLvl w:val="0"/>
    </w:pPr>
    <w:rPr>
      <w:rFonts w:asciiTheme="majorHAnsi" w:eastAsia="Times New Roman" w:hAnsiTheme="majorHAnsi" w:cs="Times New Roman"/>
      <w:b/>
      <w:bCs/>
      <w:kern w:val="36"/>
      <w:sz w:val="48"/>
      <w:szCs w:val="48"/>
      <w:lang w:eastAsia="cs-CZ"/>
    </w:rPr>
  </w:style>
  <w:style w:type="paragraph" w:styleId="Nadpis2">
    <w:name w:val="heading 2"/>
    <w:basedOn w:val="Normln"/>
    <w:next w:val="Normln"/>
    <w:link w:val="Nadpis2Char"/>
    <w:uiPriority w:val="9"/>
    <w:unhideWhenUsed/>
    <w:qFormat/>
    <w:rsid w:val="00AB1AB4"/>
    <w:pPr>
      <w:keepNext/>
      <w:keepLines/>
      <w:spacing w:before="40" w:after="0"/>
      <w:outlineLvl w:val="1"/>
    </w:pPr>
    <w:rPr>
      <w:rFonts w:asciiTheme="majorHAnsi" w:eastAsiaTheme="majorEastAsia" w:hAnsiTheme="majorHAnsi" w:cstheme="majorBidi"/>
      <w:sz w:val="32"/>
      <w:szCs w:val="26"/>
    </w:rPr>
  </w:style>
  <w:style w:type="paragraph" w:styleId="Nadpis3">
    <w:name w:val="heading 3"/>
    <w:basedOn w:val="Normln"/>
    <w:next w:val="Normln"/>
    <w:link w:val="Nadpis3Char"/>
    <w:uiPriority w:val="9"/>
    <w:unhideWhenUsed/>
    <w:qFormat/>
    <w:rsid w:val="00AB1AB4"/>
    <w:pPr>
      <w:keepNext/>
      <w:keepLines/>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AB4"/>
    <w:rPr>
      <w:rFonts w:asciiTheme="majorHAnsi" w:eastAsia="Times New Roman" w:hAnsiTheme="majorHAnsi"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776D65"/>
    <w:rPr>
      <w:b/>
      <w:bCs/>
    </w:rPr>
  </w:style>
  <w:style w:type="character" w:customStyle="1" w:styleId="Nadpis2Char">
    <w:name w:val="Nadpis 2 Char"/>
    <w:basedOn w:val="Standardnpsmoodstavce"/>
    <w:link w:val="Nadpis2"/>
    <w:uiPriority w:val="9"/>
    <w:rsid w:val="00AB1AB4"/>
    <w:rPr>
      <w:rFonts w:asciiTheme="majorHAnsi" w:eastAsiaTheme="majorEastAsia" w:hAnsiTheme="majorHAnsi" w:cstheme="majorBidi"/>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AB1AB4"/>
    <w:rPr>
      <w:rFonts w:asciiTheme="majorHAnsi" w:eastAsiaTheme="majorEastAsia" w:hAnsiTheme="majorHAnsi" w:cstheme="majorBidi"/>
      <w:sz w:val="24"/>
      <w:szCs w:val="24"/>
    </w:rPr>
  </w:style>
  <w:style w:type="paragraph" w:styleId="Bezmezer">
    <w:name w:val="No Spacing"/>
    <w:uiPriority w:val="1"/>
    <w:qFormat/>
    <w:rsid w:val="00DE0EDC"/>
    <w:pPr>
      <w:spacing w:after="0" w:line="240" w:lineRule="auto"/>
    </w:pPr>
    <w:rPr>
      <w:sz w:val="18"/>
    </w:rPr>
  </w:style>
  <w:style w:type="paragraph" w:styleId="Nzev">
    <w:name w:val="Title"/>
    <w:basedOn w:val="Normln"/>
    <w:next w:val="Normln"/>
    <w:link w:val="NzevChar"/>
    <w:uiPriority w:val="10"/>
    <w:qFormat/>
    <w:rsid w:val="00317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CC4"/>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8969A5"/>
    <w:rPr>
      <w:b/>
      <w:bCs/>
      <w:smallCaps/>
      <w:color w:val="F47929" w:themeColor="accent1"/>
      <w:spacing w:val="5"/>
    </w:rPr>
  </w:style>
  <w:style w:type="character" w:styleId="Odkazjemn">
    <w:name w:val="Subtle Reference"/>
    <w:basedOn w:val="Standardnpsmoodstavce"/>
    <w:uiPriority w:val="31"/>
    <w:qFormat/>
    <w:rsid w:val="008969A5"/>
    <w:rPr>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615E14"/>
    <w:rPr>
      <w:i/>
      <w:iCs/>
      <w:color w:val="F47929" w:themeColor="accent1"/>
    </w:rPr>
  </w:style>
  <w:style w:type="paragraph" w:styleId="Podnadpis">
    <w:name w:val="Subtitle"/>
    <w:basedOn w:val="Normln"/>
    <w:next w:val="Normln"/>
    <w:link w:val="PodnadpisChar"/>
    <w:uiPriority w:val="11"/>
    <w:qFormat/>
    <w:rsid w:val="00615E14"/>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615E14"/>
    <w:rPr>
      <w:rFonts w:eastAsiaTheme="minorEastAsia"/>
      <w:color w:val="5A5A5A" w:themeColor="text1" w:themeTint="A5"/>
      <w:spacing w:val="15"/>
    </w:rPr>
  </w:style>
  <w:style w:type="character" w:customStyle="1" w:styleId="Nevyeenzmnka1">
    <w:name w:val="Nevyřešená zmínka1"/>
    <w:basedOn w:val="Standardnpsmoodstavce"/>
    <w:uiPriority w:val="99"/>
    <w:semiHidden/>
    <w:unhideWhenUsed/>
    <w:rsid w:val="003139ED"/>
    <w:rPr>
      <w:color w:val="605E5C"/>
      <w:shd w:val="clear" w:color="auto" w:fill="E1DFDD"/>
    </w:rPr>
  </w:style>
  <w:style w:type="character" w:styleId="Zdraznnjemn">
    <w:name w:val="Subtle Emphasis"/>
    <w:basedOn w:val="Standardnpsmoodstavce"/>
    <w:uiPriority w:val="19"/>
    <w:qFormat/>
    <w:rsid w:val="00190DC1"/>
    <w:rPr>
      <w:i/>
      <w:iCs/>
      <w:color w:val="404040" w:themeColor="text1" w:themeTint="BF"/>
    </w:rPr>
  </w:style>
  <w:style w:type="character" w:styleId="Zdraznn">
    <w:name w:val="Emphasis"/>
    <w:basedOn w:val="Standardnpsmoodstavce"/>
    <w:uiPriority w:val="20"/>
    <w:qFormat/>
    <w:rsid w:val="00190DC1"/>
    <w:rPr>
      <w:i/>
      <w:iCs/>
    </w:rPr>
  </w:style>
  <w:style w:type="paragraph" w:styleId="Textpoznpodarou">
    <w:name w:val="footnote text"/>
    <w:basedOn w:val="Normln"/>
    <w:link w:val="TextpoznpodarouChar"/>
    <w:uiPriority w:val="99"/>
    <w:semiHidden/>
    <w:unhideWhenUsed/>
    <w:rsid w:val="00866B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6B0F"/>
    <w:rPr>
      <w:sz w:val="20"/>
      <w:szCs w:val="20"/>
    </w:rPr>
  </w:style>
  <w:style w:type="character" w:styleId="Znakapoznpodarou">
    <w:name w:val="footnote reference"/>
    <w:basedOn w:val="Standardnpsmoodstavce"/>
    <w:uiPriority w:val="99"/>
    <w:semiHidden/>
    <w:unhideWhenUsed/>
    <w:rsid w:val="00866B0F"/>
    <w:rPr>
      <w:vertAlign w:val="superscript"/>
    </w:rPr>
  </w:style>
  <w:style w:type="character" w:styleId="Sledovanodkaz">
    <w:name w:val="FollowedHyperlink"/>
    <w:basedOn w:val="Standardnpsmoodstavce"/>
    <w:uiPriority w:val="99"/>
    <w:semiHidden/>
    <w:unhideWhenUsed/>
    <w:rsid w:val="00BF5CA3"/>
    <w:rPr>
      <w:color w:val="00284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1977026252">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 w:id="20228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drive.google.com/drive/folders/1vJynKESL_uoi_KOQQVqono-903qtLnsU?usp=shari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rive.google.com/drive/folders/1gDkeWiLU3qJzaTgRJrZ8pGLI6RAL4CKL?usp=sharing" TargetMode="External"/><Relationship Id="rId25" Type="http://schemas.openxmlformats.org/officeDocument/2006/relationships/hyperlink" Target="https://drive.google.com/drive/folders/1Pb9tUOEcdhfonu6zVTjV4m31ie-IyX8w?usp=sharing"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rive.google.com/drive/folders/1MeZo5wihB3CrVaIX8js6pa9IlXG_FjHi?usp=sharing"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drive.google.com/drive/folders/1lxHIf1hEsa2qb4eNhu6wchuxNXt-8dwr?usp=sharing"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cyrrus.cz/" TargetMode="External"/><Relationship Id="rId4" Type="http://schemas.openxmlformats.org/officeDocument/2006/relationships/settings" Target="settings.xml"/><Relationship Id="rId9" Type="http://schemas.openxmlformats.org/officeDocument/2006/relationships/hyperlink" Target="https://ec.europa.eu/info/sites/default/files/economy-finance/saee_autumn_2020.pdf" TargetMode="External"/><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briefings.files.parliament.uk/documents/SN00290/SN00290.pdf" TargetMode="External"/><Relationship Id="rId1" Type="http://schemas.openxmlformats.org/officeDocument/2006/relationships/hyperlink" Target="https://www.aps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20JOB\CYRRUS\Grafy%20Tiskovka\TZ_CYRRU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as\diskM\GRAFIKA\Klienti_2021\CYRRUS\jednorazovky\analyza%20grafy\DATA-grafy_Anal&#253;za-mzd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as\diskM\GRAFIKA\Klienti_2021\CYRRUS\jednorazovky\analyza%20grafy\DATA-grafy_Anal&#253;za-mzd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as\diskM\GRAFIKA\Klienti_2021\CYRRUS\jednorazovky\analyza%20grafy\DATA-grafy_Anal&#253;za-mzd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as\diskM\GRAFIKA\Klienti_2021\CYRRUS\jednorazovky\analyza%20grafy\DATA-grafy_Anal&#253;za-mzd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nas\diskM\GRAFIKA\Klienti_2021\CYRRUS\jednorazovky\analyza%20grafy\DATA-grafy_Anal&#253;za-mzdy.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nas\diskM\GRAFIKA\Klienti_2021\CYRRUS\jednorazovky\analyza%20grafy\DATA-grafy_Anal&#253;za-mzdy.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nas\diskM\GRAFIKA\Klienti_2021\CYRRUS\jednorazovky\analyza%20grafy\DATA-grafy_Anal&#253;za-mzdy.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nas\diskZ\Anna%20P&#237;chov&#225;\spx%2030%20Y.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ln>
                  <a:noFill/>
                </a:ln>
                <a:solidFill>
                  <a:sysClr val="windowText" lastClr="000000"/>
                </a:solidFill>
                <a:latin typeface="Nexa Text Extra Bold" panose="00000900000000000000" pitchFamily="50" charset="-18"/>
                <a:ea typeface="+mn-ea"/>
                <a:cs typeface="+mn-cs"/>
              </a:defRPr>
            </a:pPr>
            <a:r>
              <a:rPr lang="cs-CZ" b="1">
                <a:latin typeface="Nexa Text Extra Bold" panose="00000900000000000000" pitchFamily="50" charset="-18"/>
              </a:rPr>
              <a:t>Vývoj mezd v ČR</a:t>
            </a:r>
          </a:p>
        </c:rich>
      </c:tx>
      <c:overlay val="0"/>
      <c:spPr>
        <a:noFill/>
        <a:ln>
          <a:noFill/>
        </a:ln>
        <a:effectLst/>
      </c:spPr>
      <c:txPr>
        <a:bodyPr rot="0" spcFirstLastPara="1" vertOverflow="ellipsis" vert="horz" wrap="square" anchor="ctr" anchorCtr="1"/>
        <a:lstStyle/>
        <a:p>
          <a:pPr>
            <a:defRPr sz="1400" b="1" i="0" u="none" strike="noStrike" kern="1200" spc="0" baseline="0">
              <a:ln>
                <a:noFill/>
              </a:ln>
              <a:solidFill>
                <a:sysClr val="windowText" lastClr="000000"/>
              </a:solidFill>
              <a:latin typeface="Nexa Text Extra Bold" panose="00000900000000000000" pitchFamily="50" charset="-18"/>
              <a:ea typeface="+mn-ea"/>
              <a:cs typeface="+mn-cs"/>
            </a:defRPr>
          </a:pPr>
          <a:endParaRPr lang="cs-CZ"/>
        </a:p>
      </c:txPr>
    </c:title>
    <c:autoTitleDeleted val="0"/>
    <c:plotArea>
      <c:layout/>
      <c:barChart>
        <c:barDir val="col"/>
        <c:grouping val="clustered"/>
        <c:varyColors val="0"/>
        <c:ser>
          <c:idx val="0"/>
          <c:order val="0"/>
          <c:tx>
            <c:strRef>
              <c:f>List2!$D$3</c:f>
              <c:strCache>
                <c:ptCount val="1"/>
                <c:pt idx="0">
                  <c:v>nominální mzda (CZK)</c:v>
                </c:pt>
              </c:strCache>
            </c:strRef>
          </c:tx>
          <c:spPr>
            <a:solidFill>
              <a:schemeClr val="bg2"/>
            </a:solidFill>
            <a:ln>
              <a:noFill/>
            </a:ln>
            <a:effectLst/>
          </c:spPr>
          <c:invertIfNegative val="0"/>
          <c:cat>
            <c:strRef>
              <c:f>List2!$C$4:$C$49</c:f>
              <c:strCache>
                <c:ptCount val="4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pt idx="36">
                  <c:v>2019Q1</c:v>
                </c:pt>
                <c:pt idx="37">
                  <c:v>2019Q2</c:v>
                </c:pt>
                <c:pt idx="38">
                  <c:v>2019Q3</c:v>
                </c:pt>
                <c:pt idx="39">
                  <c:v>2019Q4</c:v>
                </c:pt>
                <c:pt idx="40">
                  <c:v>2020Q1</c:v>
                </c:pt>
                <c:pt idx="41">
                  <c:v>2020Q2</c:v>
                </c:pt>
                <c:pt idx="42">
                  <c:v>2020Q3</c:v>
                </c:pt>
                <c:pt idx="43">
                  <c:v>2020Q4</c:v>
                </c:pt>
                <c:pt idx="44">
                  <c:v>2021Q1</c:v>
                </c:pt>
                <c:pt idx="45">
                  <c:v>2021Q2</c:v>
                </c:pt>
              </c:strCache>
            </c:strRef>
          </c:cat>
          <c:val>
            <c:numRef>
              <c:f>List2!$D$4:$D$49</c:f>
              <c:numCache>
                <c:formatCode>#,##0</c:formatCode>
                <c:ptCount val="46"/>
                <c:pt idx="0">
                  <c:v>22738</c:v>
                </c:pt>
                <c:pt idx="1">
                  <c:v>23504</c:v>
                </c:pt>
                <c:pt idx="2">
                  <c:v>23600</c:v>
                </c:pt>
                <c:pt idx="3">
                  <c:v>25591</c:v>
                </c:pt>
                <c:pt idx="4">
                  <c:v>23372</c:v>
                </c:pt>
                <c:pt idx="5">
                  <c:v>24116</c:v>
                </c:pt>
                <c:pt idx="6">
                  <c:v>24107</c:v>
                </c:pt>
                <c:pt idx="7">
                  <c:v>26211</c:v>
                </c:pt>
                <c:pt idx="8">
                  <c:v>24131</c:v>
                </c:pt>
                <c:pt idx="9">
                  <c:v>24627</c:v>
                </c:pt>
                <c:pt idx="10">
                  <c:v>24439</c:v>
                </c:pt>
                <c:pt idx="11">
                  <c:v>27055</c:v>
                </c:pt>
                <c:pt idx="12">
                  <c:v>23985</c:v>
                </c:pt>
                <c:pt idx="13">
                  <c:v>24877</c:v>
                </c:pt>
                <c:pt idx="14">
                  <c:v>24735</c:v>
                </c:pt>
                <c:pt idx="15">
                  <c:v>26525</c:v>
                </c:pt>
                <c:pt idx="16">
                  <c:v>24931</c:v>
                </c:pt>
                <c:pt idx="17">
                  <c:v>25569</c:v>
                </c:pt>
                <c:pt idx="18">
                  <c:v>25279</c:v>
                </c:pt>
                <c:pt idx="19">
                  <c:v>27261</c:v>
                </c:pt>
                <c:pt idx="20">
                  <c:v>25497</c:v>
                </c:pt>
                <c:pt idx="21">
                  <c:v>26408</c:v>
                </c:pt>
                <c:pt idx="22">
                  <c:v>26163</c:v>
                </c:pt>
                <c:pt idx="23">
                  <c:v>28258</c:v>
                </c:pt>
                <c:pt idx="24">
                  <c:v>26683</c:v>
                </c:pt>
                <c:pt idx="25">
                  <c:v>27452</c:v>
                </c:pt>
                <c:pt idx="26">
                  <c:v>27396</c:v>
                </c:pt>
                <c:pt idx="27">
                  <c:v>29491</c:v>
                </c:pt>
                <c:pt idx="28">
                  <c:v>28034</c:v>
                </c:pt>
                <c:pt idx="29">
                  <c:v>29432</c:v>
                </c:pt>
                <c:pt idx="30">
                  <c:v>29234</c:v>
                </c:pt>
                <c:pt idx="31">
                  <c:v>31802</c:v>
                </c:pt>
                <c:pt idx="32">
                  <c:v>30427</c:v>
                </c:pt>
                <c:pt idx="33">
                  <c:v>32003</c:v>
                </c:pt>
                <c:pt idx="34">
                  <c:v>31685</c:v>
                </c:pt>
                <c:pt idx="35">
                  <c:v>34057</c:v>
                </c:pt>
                <c:pt idx="36">
                  <c:v>32951</c:v>
                </c:pt>
                <c:pt idx="37">
                  <c:v>34576</c:v>
                </c:pt>
                <c:pt idx="38">
                  <c:v>34127</c:v>
                </c:pt>
                <c:pt idx="39">
                  <c:v>36634</c:v>
                </c:pt>
                <c:pt idx="40">
                  <c:v>34197</c:v>
                </c:pt>
                <c:pt idx="41">
                  <c:v>34382</c:v>
                </c:pt>
                <c:pt idx="42">
                  <c:v>35487</c:v>
                </c:pt>
                <c:pt idx="43">
                  <c:v>38584</c:v>
                </c:pt>
                <c:pt idx="44">
                  <c:v>35329</c:v>
                </c:pt>
                <c:pt idx="45">
                  <c:v>38275</c:v>
                </c:pt>
              </c:numCache>
            </c:numRef>
          </c:val>
          <c:extLst>
            <c:ext xmlns:c16="http://schemas.microsoft.com/office/drawing/2014/chart" uri="{C3380CC4-5D6E-409C-BE32-E72D297353CC}">
              <c16:uniqueId val="{00000000-ACCD-497D-A6B5-73BA19004536}"/>
            </c:ext>
          </c:extLst>
        </c:ser>
        <c:dLbls>
          <c:showLegendKey val="0"/>
          <c:showVal val="0"/>
          <c:showCatName val="0"/>
          <c:showSerName val="0"/>
          <c:showPercent val="0"/>
          <c:showBubbleSize val="0"/>
        </c:dLbls>
        <c:gapWidth val="219"/>
        <c:overlap val="-27"/>
        <c:axId val="375922296"/>
        <c:axId val="375560912"/>
      </c:barChart>
      <c:lineChart>
        <c:grouping val="standard"/>
        <c:varyColors val="0"/>
        <c:ser>
          <c:idx val="1"/>
          <c:order val="1"/>
          <c:tx>
            <c:strRef>
              <c:f>List2!$E$3</c:f>
              <c:strCache>
                <c:ptCount val="1"/>
                <c:pt idx="0">
                  <c:v>index nominální mzdy
</c:v>
                </c:pt>
              </c:strCache>
            </c:strRef>
          </c:tx>
          <c:spPr>
            <a:ln w="28575" cap="rnd">
              <a:solidFill>
                <a:schemeClr val="tx2"/>
              </a:solidFill>
              <a:round/>
            </a:ln>
            <a:effectLst/>
          </c:spPr>
          <c:marker>
            <c:symbol val="none"/>
          </c:marker>
          <c:cat>
            <c:strRef>
              <c:f>List2!$C$4:$C$49</c:f>
              <c:strCache>
                <c:ptCount val="4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pt idx="36">
                  <c:v>2019Q1</c:v>
                </c:pt>
                <c:pt idx="37">
                  <c:v>2019Q2</c:v>
                </c:pt>
                <c:pt idx="38">
                  <c:v>2019Q3</c:v>
                </c:pt>
                <c:pt idx="39">
                  <c:v>2019Q4</c:v>
                </c:pt>
                <c:pt idx="40">
                  <c:v>2020Q1</c:v>
                </c:pt>
                <c:pt idx="41">
                  <c:v>2020Q2</c:v>
                </c:pt>
                <c:pt idx="42">
                  <c:v>2020Q3</c:v>
                </c:pt>
                <c:pt idx="43">
                  <c:v>2020Q4</c:v>
                </c:pt>
                <c:pt idx="44">
                  <c:v>2021Q1</c:v>
                </c:pt>
                <c:pt idx="45">
                  <c:v>2021Q2</c:v>
                </c:pt>
              </c:strCache>
            </c:strRef>
          </c:cat>
          <c:val>
            <c:numRef>
              <c:f>List2!$E$4:$E$49</c:f>
              <c:numCache>
                <c:formatCode>0.0</c:formatCode>
                <c:ptCount val="46"/>
                <c:pt idx="0">
                  <c:v>102.8</c:v>
                </c:pt>
                <c:pt idx="1">
                  <c:v>103.1</c:v>
                </c:pt>
                <c:pt idx="2">
                  <c:v>102.2</c:v>
                </c:pt>
                <c:pt idx="3">
                  <c:v>100.7</c:v>
                </c:pt>
                <c:pt idx="4">
                  <c:v>102.8</c:v>
                </c:pt>
                <c:pt idx="5">
                  <c:v>102.6</c:v>
                </c:pt>
                <c:pt idx="6">
                  <c:v>102.1</c:v>
                </c:pt>
                <c:pt idx="7">
                  <c:v>102.4</c:v>
                </c:pt>
                <c:pt idx="8">
                  <c:v>103.2</c:v>
                </c:pt>
                <c:pt idx="9">
                  <c:v>102.1</c:v>
                </c:pt>
                <c:pt idx="10">
                  <c:v>101.4</c:v>
                </c:pt>
                <c:pt idx="11">
                  <c:v>103.2</c:v>
                </c:pt>
                <c:pt idx="12">
                  <c:v>99.4</c:v>
                </c:pt>
                <c:pt idx="13">
                  <c:v>101</c:v>
                </c:pt>
                <c:pt idx="14">
                  <c:v>101.2</c:v>
                </c:pt>
                <c:pt idx="15">
                  <c:v>98</c:v>
                </c:pt>
                <c:pt idx="16">
                  <c:v>103.9</c:v>
                </c:pt>
                <c:pt idx="17">
                  <c:v>102.8</c:v>
                </c:pt>
                <c:pt idx="18">
                  <c:v>102.2</c:v>
                </c:pt>
                <c:pt idx="19">
                  <c:v>102.8</c:v>
                </c:pt>
                <c:pt idx="20">
                  <c:v>102.3</c:v>
                </c:pt>
                <c:pt idx="21">
                  <c:v>103.3</c:v>
                </c:pt>
                <c:pt idx="22">
                  <c:v>103.5</c:v>
                </c:pt>
                <c:pt idx="23">
                  <c:v>103.7</c:v>
                </c:pt>
                <c:pt idx="24">
                  <c:v>104.7</c:v>
                </c:pt>
                <c:pt idx="25">
                  <c:v>104</c:v>
                </c:pt>
                <c:pt idx="26">
                  <c:v>104.7</c:v>
                </c:pt>
                <c:pt idx="27">
                  <c:v>104.4</c:v>
                </c:pt>
                <c:pt idx="28">
                  <c:v>105.1</c:v>
                </c:pt>
                <c:pt idx="29">
                  <c:v>107.2</c:v>
                </c:pt>
                <c:pt idx="30">
                  <c:v>106.7</c:v>
                </c:pt>
                <c:pt idx="31">
                  <c:v>107.8</c:v>
                </c:pt>
                <c:pt idx="32">
                  <c:v>108.5</c:v>
                </c:pt>
                <c:pt idx="33">
                  <c:v>108.7</c:v>
                </c:pt>
                <c:pt idx="34">
                  <c:v>108.4</c:v>
                </c:pt>
                <c:pt idx="35">
                  <c:v>107.1</c:v>
                </c:pt>
                <c:pt idx="36">
                  <c:v>108.3</c:v>
                </c:pt>
                <c:pt idx="37">
                  <c:v>108</c:v>
                </c:pt>
                <c:pt idx="38">
                  <c:v>107.7</c:v>
                </c:pt>
                <c:pt idx="39">
                  <c:v>107.6</c:v>
                </c:pt>
                <c:pt idx="40">
                  <c:v>103.8</c:v>
                </c:pt>
                <c:pt idx="41">
                  <c:v>99.4</c:v>
                </c:pt>
                <c:pt idx="42">
                  <c:v>104</c:v>
                </c:pt>
                <c:pt idx="43">
                  <c:v>105.3</c:v>
                </c:pt>
                <c:pt idx="44">
                  <c:v>103.3</c:v>
                </c:pt>
                <c:pt idx="45">
                  <c:v>111.3</c:v>
                </c:pt>
              </c:numCache>
            </c:numRef>
          </c:val>
          <c:smooth val="0"/>
          <c:extLst>
            <c:ext xmlns:c16="http://schemas.microsoft.com/office/drawing/2014/chart" uri="{C3380CC4-5D6E-409C-BE32-E72D297353CC}">
              <c16:uniqueId val="{00000001-ACCD-497D-A6B5-73BA19004536}"/>
            </c:ext>
          </c:extLst>
        </c:ser>
        <c:ser>
          <c:idx val="2"/>
          <c:order val="2"/>
          <c:tx>
            <c:strRef>
              <c:f>List2!$F$3</c:f>
              <c:strCache>
                <c:ptCount val="1"/>
                <c:pt idx="0">
                  <c:v>index reálné mzdy</c:v>
                </c:pt>
              </c:strCache>
            </c:strRef>
          </c:tx>
          <c:spPr>
            <a:ln w="28575" cap="rnd">
              <a:solidFill>
                <a:schemeClr val="accent3"/>
              </a:solidFill>
              <a:round/>
            </a:ln>
            <a:effectLst/>
          </c:spPr>
          <c:marker>
            <c:symbol val="none"/>
          </c:marker>
          <c:cat>
            <c:strRef>
              <c:f>List2!$C$4:$C$49</c:f>
              <c:strCache>
                <c:ptCount val="4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pt idx="36">
                  <c:v>2019Q1</c:v>
                </c:pt>
                <c:pt idx="37">
                  <c:v>2019Q2</c:v>
                </c:pt>
                <c:pt idx="38">
                  <c:v>2019Q3</c:v>
                </c:pt>
                <c:pt idx="39">
                  <c:v>2019Q4</c:v>
                </c:pt>
                <c:pt idx="40">
                  <c:v>2020Q1</c:v>
                </c:pt>
                <c:pt idx="41">
                  <c:v>2020Q2</c:v>
                </c:pt>
                <c:pt idx="42">
                  <c:v>2020Q3</c:v>
                </c:pt>
                <c:pt idx="43">
                  <c:v>2020Q4</c:v>
                </c:pt>
                <c:pt idx="44">
                  <c:v>2021Q1</c:v>
                </c:pt>
                <c:pt idx="45">
                  <c:v>2021Q2</c:v>
                </c:pt>
              </c:strCache>
            </c:strRef>
          </c:cat>
          <c:val>
            <c:numRef>
              <c:f>List2!$F$4:$F$49</c:f>
              <c:numCache>
                <c:formatCode>#\ ##0.0</c:formatCode>
                <c:ptCount val="46"/>
                <c:pt idx="0">
                  <c:v>102.1</c:v>
                </c:pt>
                <c:pt idx="1">
                  <c:v>101.9</c:v>
                </c:pt>
                <c:pt idx="2">
                  <c:v>100.3</c:v>
                </c:pt>
                <c:pt idx="3">
                  <c:v>98.6</c:v>
                </c:pt>
                <c:pt idx="4">
                  <c:v>101.1</c:v>
                </c:pt>
                <c:pt idx="5">
                  <c:v>100.8</c:v>
                </c:pt>
                <c:pt idx="6">
                  <c:v>100.3</c:v>
                </c:pt>
                <c:pt idx="7">
                  <c:v>100</c:v>
                </c:pt>
                <c:pt idx="8">
                  <c:v>99.5</c:v>
                </c:pt>
                <c:pt idx="9">
                  <c:v>98.7</c:v>
                </c:pt>
                <c:pt idx="10">
                  <c:v>98.2</c:v>
                </c:pt>
                <c:pt idx="11">
                  <c:v>100.4</c:v>
                </c:pt>
                <c:pt idx="12">
                  <c:v>97.6</c:v>
                </c:pt>
                <c:pt idx="13">
                  <c:v>99.5</c:v>
                </c:pt>
                <c:pt idx="14">
                  <c:v>100</c:v>
                </c:pt>
                <c:pt idx="15">
                  <c:v>96.9</c:v>
                </c:pt>
                <c:pt idx="16">
                  <c:v>103.7</c:v>
                </c:pt>
                <c:pt idx="17">
                  <c:v>102.6</c:v>
                </c:pt>
                <c:pt idx="18">
                  <c:v>101.6</c:v>
                </c:pt>
                <c:pt idx="19">
                  <c:v>102.3</c:v>
                </c:pt>
                <c:pt idx="20">
                  <c:v>102.2</c:v>
                </c:pt>
                <c:pt idx="21">
                  <c:v>102.6</c:v>
                </c:pt>
                <c:pt idx="22">
                  <c:v>103.1</c:v>
                </c:pt>
                <c:pt idx="23">
                  <c:v>103.6</c:v>
                </c:pt>
                <c:pt idx="24">
                  <c:v>104.2</c:v>
                </c:pt>
                <c:pt idx="25">
                  <c:v>103.8</c:v>
                </c:pt>
                <c:pt idx="26">
                  <c:v>104.2</c:v>
                </c:pt>
                <c:pt idx="27">
                  <c:v>103</c:v>
                </c:pt>
                <c:pt idx="28">
                  <c:v>102.6</c:v>
                </c:pt>
                <c:pt idx="29">
                  <c:v>104.9</c:v>
                </c:pt>
                <c:pt idx="30">
                  <c:v>104.1</c:v>
                </c:pt>
                <c:pt idx="31">
                  <c:v>105.1</c:v>
                </c:pt>
                <c:pt idx="32">
                  <c:v>106.5</c:v>
                </c:pt>
                <c:pt idx="33">
                  <c:v>106.3</c:v>
                </c:pt>
                <c:pt idx="34">
                  <c:v>105.9</c:v>
                </c:pt>
                <c:pt idx="35">
                  <c:v>104.9</c:v>
                </c:pt>
                <c:pt idx="36">
                  <c:v>105.5</c:v>
                </c:pt>
                <c:pt idx="37">
                  <c:v>105.1</c:v>
                </c:pt>
                <c:pt idx="38">
                  <c:v>104.8</c:v>
                </c:pt>
                <c:pt idx="39">
                  <c:v>104.5</c:v>
                </c:pt>
                <c:pt idx="40">
                  <c:v>100.2</c:v>
                </c:pt>
                <c:pt idx="41">
                  <c:v>96.4</c:v>
                </c:pt>
                <c:pt idx="42">
                  <c:v>100.7</c:v>
                </c:pt>
                <c:pt idx="43">
                  <c:v>102.6</c:v>
                </c:pt>
                <c:pt idx="44">
                  <c:v>101.1</c:v>
                </c:pt>
                <c:pt idx="45">
                  <c:v>108.2</c:v>
                </c:pt>
              </c:numCache>
            </c:numRef>
          </c:val>
          <c:smooth val="0"/>
          <c:extLst>
            <c:ext xmlns:c16="http://schemas.microsoft.com/office/drawing/2014/chart" uri="{C3380CC4-5D6E-409C-BE32-E72D297353CC}">
              <c16:uniqueId val="{00000002-ACCD-497D-A6B5-73BA19004536}"/>
            </c:ext>
          </c:extLst>
        </c:ser>
        <c:dLbls>
          <c:showLegendKey val="0"/>
          <c:showVal val="0"/>
          <c:showCatName val="0"/>
          <c:showSerName val="0"/>
          <c:showPercent val="0"/>
          <c:showBubbleSize val="0"/>
        </c:dLbls>
        <c:marker val="1"/>
        <c:smooth val="0"/>
        <c:axId val="375561680"/>
        <c:axId val="375561296"/>
      </c:lineChart>
      <c:catAx>
        <c:axId val="375922296"/>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cs-CZ"/>
          </a:p>
        </c:txPr>
        <c:crossAx val="375560912"/>
        <c:crosses val="autoZero"/>
        <c:auto val="1"/>
        <c:lblAlgn val="ctr"/>
        <c:lblOffset val="100"/>
        <c:noMultiLvlLbl val="0"/>
      </c:catAx>
      <c:valAx>
        <c:axId val="375560912"/>
        <c:scaling>
          <c:orientation val="minMax"/>
        </c:scaling>
        <c:delete val="0"/>
        <c:axPos val="l"/>
        <c:majorGridlines>
          <c:spPr>
            <a:ln w="12700"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cs-CZ"/>
          </a:p>
        </c:txPr>
        <c:crossAx val="375922296"/>
        <c:crosses val="autoZero"/>
        <c:crossBetween val="between"/>
      </c:valAx>
      <c:valAx>
        <c:axId val="375561296"/>
        <c:scaling>
          <c:orientation val="minMax"/>
          <c:max val="115"/>
          <c:min val="95"/>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cs-CZ"/>
          </a:p>
        </c:txPr>
        <c:crossAx val="375561680"/>
        <c:crosses val="max"/>
        <c:crossBetween val="between"/>
      </c:valAx>
      <c:catAx>
        <c:axId val="375561680"/>
        <c:scaling>
          <c:orientation val="minMax"/>
        </c:scaling>
        <c:delete val="1"/>
        <c:axPos val="b"/>
        <c:numFmt formatCode="General" sourceLinked="1"/>
        <c:majorTickMark val="out"/>
        <c:minorTickMark val="none"/>
        <c:tickLblPos val="nextTo"/>
        <c:crossAx val="375561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solidFill>
            <a:sysClr val="windowText" lastClr="000000"/>
          </a:solidFill>
        </a:defRPr>
      </a:pPr>
      <a:endParaRPr lang="cs-CZ"/>
    </a:p>
  </c:txPr>
  <c:externalData r:id="rId3">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cs-CZ" sz="1100" b="1">
                <a:solidFill>
                  <a:sysClr val="windowText" lastClr="000000"/>
                </a:solidFill>
                <a:latin typeface="+mj-lt"/>
              </a:rPr>
              <a:t>Vývoj čistého disponibilního příjmu v zemích V4 (dle průměrné mzdy, PPS)</a:t>
            </a:r>
          </a:p>
        </c:rich>
      </c:tx>
      <c:layout>
        <c:manualLayout>
          <c:xMode val="edge"/>
          <c:yMode val="edge"/>
          <c:x val="0.1366263643274099"/>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9.1861554406648269E-2"/>
          <c:y val="0.14087224466608861"/>
          <c:w val="0.88267552493438317"/>
          <c:h val="0.67460048133713924"/>
        </c:manualLayout>
      </c:layout>
      <c:lineChart>
        <c:grouping val="standard"/>
        <c:varyColors val="0"/>
        <c:ser>
          <c:idx val="2"/>
          <c:order val="2"/>
          <c:tx>
            <c:strRef>
              <c:f>List1!$A$4</c:f>
              <c:strCache>
                <c:ptCount val="1"/>
                <c:pt idx="0">
                  <c:v>ČR</c:v>
                </c:pt>
              </c:strCache>
            </c:strRef>
          </c:tx>
          <c:spPr>
            <a:ln w="28575" cap="rnd">
              <a:solidFill>
                <a:srgbClr val="EE7219"/>
              </a:solidFill>
              <a:round/>
            </a:ln>
            <a:effectLst/>
          </c:spPr>
          <c:marker>
            <c:symbol val="none"/>
          </c:marker>
          <c:cat>
            <c:strRef>
              <c:f>List1!$B$1:$L$1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List1!$B$4:$L$4</c:f>
              <c:numCache>
                <c:formatCode>#\ ##0.##########</c:formatCode>
                <c:ptCount val="11"/>
                <c:pt idx="0">
                  <c:v>12074.11</c:v>
                </c:pt>
                <c:pt idx="1">
                  <c:v>12325.46</c:v>
                </c:pt>
                <c:pt idx="2">
                  <c:v>12615.67</c:v>
                </c:pt>
                <c:pt idx="3">
                  <c:v>12766.53</c:v>
                </c:pt>
                <c:pt idx="4">
                  <c:v>13254.53</c:v>
                </c:pt>
                <c:pt idx="5">
                  <c:v>13476.46</c:v>
                </c:pt>
                <c:pt idx="6">
                  <c:v>13830.41</c:v>
                </c:pt>
                <c:pt idx="7">
                  <c:v>14597.89</c:v>
                </c:pt>
                <c:pt idx="8">
                  <c:v>15232.67</c:v>
                </c:pt>
                <c:pt idx="9">
                  <c:v>15761.09</c:v>
                </c:pt>
                <c:pt idx="10" formatCode="#,##0.00">
                  <c:v>15671.6</c:v>
                </c:pt>
              </c:numCache>
            </c:numRef>
          </c:val>
          <c:smooth val="0"/>
          <c:extLst>
            <c:ext xmlns:c16="http://schemas.microsoft.com/office/drawing/2014/chart" uri="{C3380CC4-5D6E-409C-BE32-E72D297353CC}">
              <c16:uniqueId val="{00000000-E2EE-4E1C-99C1-134DA11DD894}"/>
            </c:ext>
          </c:extLst>
        </c:ser>
        <c:ser>
          <c:idx val="5"/>
          <c:order val="5"/>
          <c:tx>
            <c:strRef>
              <c:f>List1!$A$7</c:f>
              <c:strCache>
                <c:ptCount val="1"/>
                <c:pt idx="0">
                  <c:v>Maďarsko</c:v>
                </c:pt>
              </c:strCache>
            </c:strRef>
          </c:tx>
          <c:spPr>
            <a:ln w="28575" cap="rnd">
              <a:solidFill>
                <a:srgbClr val="036531"/>
              </a:solidFill>
              <a:round/>
            </a:ln>
            <a:effectLst/>
          </c:spPr>
          <c:marker>
            <c:symbol val="none"/>
          </c:marker>
          <c:cat>
            <c:strRef>
              <c:f>List1!$B$1:$L$1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List1!$B$7:$L$7</c:f>
              <c:numCache>
                <c:formatCode>#\ ##0.##########</c:formatCode>
                <c:ptCount val="11"/>
                <c:pt idx="0">
                  <c:v>9681.2900000000009</c:v>
                </c:pt>
                <c:pt idx="1">
                  <c:v>9745.49</c:v>
                </c:pt>
                <c:pt idx="2">
                  <c:v>10177.31</c:v>
                </c:pt>
                <c:pt idx="3">
                  <c:v>10597.72</c:v>
                </c:pt>
                <c:pt idx="4">
                  <c:v>10746.08</c:v>
                </c:pt>
                <c:pt idx="5">
                  <c:v>10921.99</c:v>
                </c:pt>
                <c:pt idx="6">
                  <c:v>11433.23</c:v>
                </c:pt>
                <c:pt idx="7">
                  <c:v>12169.34</c:v>
                </c:pt>
                <c:pt idx="8">
                  <c:v>13022.91</c:v>
                </c:pt>
                <c:pt idx="9">
                  <c:v>14315.41</c:v>
                </c:pt>
                <c:pt idx="10">
                  <c:v>15337.81</c:v>
                </c:pt>
              </c:numCache>
            </c:numRef>
          </c:val>
          <c:smooth val="0"/>
          <c:extLst>
            <c:ext xmlns:c16="http://schemas.microsoft.com/office/drawing/2014/chart" uri="{C3380CC4-5D6E-409C-BE32-E72D297353CC}">
              <c16:uniqueId val="{00000001-E2EE-4E1C-99C1-134DA11DD894}"/>
            </c:ext>
          </c:extLst>
        </c:ser>
        <c:ser>
          <c:idx val="7"/>
          <c:order val="7"/>
          <c:tx>
            <c:strRef>
              <c:f>List1!$A$9</c:f>
              <c:strCache>
                <c:ptCount val="1"/>
                <c:pt idx="0">
                  <c:v>Polsko</c:v>
                </c:pt>
              </c:strCache>
            </c:strRef>
          </c:tx>
          <c:spPr>
            <a:ln w="28575" cap="rnd">
              <a:solidFill>
                <a:srgbClr val="FFC832"/>
              </a:solidFill>
              <a:round/>
            </a:ln>
            <a:effectLst/>
          </c:spPr>
          <c:marker>
            <c:symbol val="none"/>
          </c:marker>
          <c:cat>
            <c:strRef>
              <c:f>List1!$B$1:$L$1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List1!$B$9:$L$9</c:f>
              <c:numCache>
                <c:formatCode>#\ ##0.##########</c:formatCode>
                <c:ptCount val="11"/>
                <c:pt idx="0" formatCode="#,##0.00">
                  <c:v>11351.3</c:v>
                </c:pt>
                <c:pt idx="1">
                  <c:v>12044.84</c:v>
                </c:pt>
                <c:pt idx="2" formatCode="#,##0.00">
                  <c:v>12575.5</c:v>
                </c:pt>
                <c:pt idx="3" formatCode="#,##0.00">
                  <c:v>13030.7</c:v>
                </c:pt>
                <c:pt idx="4">
                  <c:v>13751.89</c:v>
                </c:pt>
                <c:pt idx="5">
                  <c:v>14360.01</c:v>
                </c:pt>
                <c:pt idx="6">
                  <c:v>14654.31</c:v>
                </c:pt>
                <c:pt idx="7">
                  <c:v>15106.85</c:v>
                </c:pt>
                <c:pt idx="8">
                  <c:v>16118.54</c:v>
                </c:pt>
                <c:pt idx="9">
                  <c:v>17072.75</c:v>
                </c:pt>
                <c:pt idx="10" formatCode="#,##0.00">
                  <c:v>17901.7</c:v>
                </c:pt>
              </c:numCache>
            </c:numRef>
          </c:val>
          <c:smooth val="0"/>
          <c:extLst>
            <c:ext xmlns:c16="http://schemas.microsoft.com/office/drawing/2014/chart" uri="{C3380CC4-5D6E-409C-BE32-E72D297353CC}">
              <c16:uniqueId val="{00000002-E2EE-4E1C-99C1-134DA11DD894}"/>
            </c:ext>
          </c:extLst>
        </c:ser>
        <c:ser>
          <c:idx val="10"/>
          <c:order val="10"/>
          <c:tx>
            <c:strRef>
              <c:f>List1!$A$12</c:f>
              <c:strCache>
                <c:ptCount val="1"/>
                <c:pt idx="0">
                  <c:v>Slovensko</c:v>
                </c:pt>
              </c:strCache>
            </c:strRef>
          </c:tx>
          <c:spPr>
            <a:ln w="28575" cap="rnd">
              <a:solidFill>
                <a:srgbClr val="003C72"/>
              </a:solidFill>
              <a:round/>
            </a:ln>
            <a:effectLst/>
          </c:spPr>
          <c:marker>
            <c:symbol val="none"/>
          </c:marker>
          <c:cat>
            <c:strRef>
              <c:f>List1!$B$1:$L$1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List1!$B$12:$L$12</c:f>
              <c:numCache>
                <c:formatCode>#\ ##0.##########</c:formatCode>
                <c:ptCount val="11"/>
                <c:pt idx="0">
                  <c:v>10599.05</c:v>
                </c:pt>
                <c:pt idx="1">
                  <c:v>10719.16</c:v>
                </c:pt>
                <c:pt idx="2">
                  <c:v>10850.11</c:v>
                </c:pt>
                <c:pt idx="3">
                  <c:v>11236.79</c:v>
                </c:pt>
                <c:pt idx="4">
                  <c:v>11701.64</c:v>
                </c:pt>
                <c:pt idx="5">
                  <c:v>11922.06</c:v>
                </c:pt>
                <c:pt idx="6">
                  <c:v>11097.14</c:v>
                </c:pt>
                <c:pt idx="7">
                  <c:v>10872.28</c:v>
                </c:pt>
                <c:pt idx="8">
                  <c:v>11238.05</c:v>
                </c:pt>
                <c:pt idx="9">
                  <c:v>11548.56</c:v>
                </c:pt>
                <c:pt idx="10">
                  <c:v>11691.16</c:v>
                </c:pt>
              </c:numCache>
            </c:numRef>
          </c:val>
          <c:smooth val="0"/>
          <c:extLst>
            <c:ext xmlns:c16="http://schemas.microsoft.com/office/drawing/2014/chart" uri="{C3380CC4-5D6E-409C-BE32-E72D297353CC}">
              <c16:uniqueId val="{00000003-E2EE-4E1C-99C1-134DA11DD894}"/>
            </c:ext>
          </c:extLst>
        </c:ser>
        <c:dLbls>
          <c:showLegendKey val="0"/>
          <c:showVal val="0"/>
          <c:showCatName val="0"/>
          <c:showSerName val="0"/>
          <c:showPercent val="0"/>
          <c:showBubbleSize val="0"/>
        </c:dLbls>
        <c:smooth val="0"/>
        <c:axId val="375439912"/>
        <c:axId val="375440296"/>
        <c:extLst>
          <c:ext xmlns:c15="http://schemas.microsoft.com/office/drawing/2012/chart" uri="{02D57815-91ED-43cb-92C2-25804820EDAC}">
            <c15:filteredLineSeries>
              <c15:ser>
                <c:idx val="0"/>
                <c:order val="0"/>
                <c:tx>
                  <c:strRef>
                    <c:extLst>
                      <c:ext uri="{02D57815-91ED-43cb-92C2-25804820EDAC}">
                        <c15:formulaRef>
                          <c15:sqref>List1!$A$2</c15:sqref>
                        </c15:formulaRef>
                      </c:ext>
                    </c:extLst>
                    <c:strCache>
                      <c:ptCount val="1"/>
                      <c:pt idx="0">
                        <c:v>European Union (27)</c:v>
                      </c:pt>
                    </c:strCache>
                  </c:strRef>
                </c:tx>
                <c:spPr>
                  <a:ln w="28575" cap="rnd">
                    <a:solidFill>
                      <a:schemeClr val="accent1"/>
                    </a:solidFill>
                    <a:round/>
                  </a:ln>
                  <a:effectLst/>
                </c:spPr>
                <c:marker>
                  <c:symbol val="none"/>
                </c:marker>
                <c:cat>
                  <c:strRef>
                    <c:extLst>
                      <c:ex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c:ext uri="{02D57815-91ED-43cb-92C2-25804820EDAC}">
                        <c15:formulaRef>
                          <c15:sqref>List1!$B$2:$L$2</c15:sqref>
                        </c15:formulaRef>
                      </c:ext>
                    </c:extLst>
                    <c:numCache>
                      <c:formatCode>#,##0</c:formatCode>
                      <c:ptCount val="11"/>
                      <c:pt idx="0">
                        <c:v>0</c:v>
                      </c:pt>
                      <c:pt idx="1">
                        <c:v>0</c:v>
                      </c:pt>
                      <c:pt idx="2">
                        <c:v>0</c:v>
                      </c:pt>
                      <c:pt idx="3" formatCode="#\ ##0.##########">
                        <c:v>20601.59</c:v>
                      </c:pt>
                      <c:pt idx="4" formatCode="#\ ##0.##########">
                        <c:v>20940.91</c:v>
                      </c:pt>
                      <c:pt idx="5" formatCode="#\ ##0.##########">
                        <c:v>21065.82</c:v>
                      </c:pt>
                      <c:pt idx="6" formatCode="#\ ##0.##########">
                        <c:v>21379.41</c:v>
                      </c:pt>
                      <c:pt idx="7" formatCode="#\ ##0.##########">
                        <c:v>21786.43</c:v>
                      </c:pt>
                      <c:pt idx="8" formatCode="#,##0.00">
                        <c:v>22392.9</c:v>
                      </c:pt>
                      <c:pt idx="9" formatCode="#\ ##0.##########">
                        <c:v>23034.27</c:v>
                      </c:pt>
                      <c:pt idx="10" formatCode="#\ ##0.##########">
                        <c:v>23521.98</c:v>
                      </c:pt>
                    </c:numCache>
                  </c:numRef>
                </c:val>
                <c:smooth val="0"/>
                <c:extLst>
                  <c:ext xmlns:c16="http://schemas.microsoft.com/office/drawing/2014/chart" uri="{C3380CC4-5D6E-409C-BE32-E72D297353CC}">
                    <c16:uniqueId val="{00000004-E2EE-4E1C-99C1-134DA11DD894}"/>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List1!$A$3</c15:sqref>
                        </c15:formulaRef>
                      </c:ext>
                    </c:extLst>
                    <c:strCache>
                      <c:ptCount val="1"/>
                      <c:pt idx="0">
                        <c:v>eurozóna</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List1!$B$3:$L$3</c15:sqref>
                        </c15:formulaRef>
                      </c:ext>
                    </c:extLst>
                    <c:numCache>
                      <c:formatCode>#\ ##0.##########</c:formatCode>
                      <c:ptCount val="11"/>
                      <c:pt idx="0" formatCode="#,##0.00">
                        <c:v>21616</c:v>
                      </c:pt>
                      <c:pt idx="1">
                        <c:v>22082.84</c:v>
                      </c:pt>
                      <c:pt idx="2">
                        <c:v>22471.52</c:v>
                      </c:pt>
                      <c:pt idx="3">
                        <c:v>22700.19</c:v>
                      </c:pt>
                      <c:pt idx="4">
                        <c:v>23016.27</c:v>
                      </c:pt>
                      <c:pt idx="5">
                        <c:v>23412.04</c:v>
                      </c:pt>
                      <c:pt idx="6">
                        <c:v>23662.22</c:v>
                      </c:pt>
                      <c:pt idx="7">
                        <c:v>24029.040000000001</c:v>
                      </c:pt>
                      <c:pt idx="8">
                        <c:v>24572.54</c:v>
                      </c:pt>
                      <c:pt idx="9">
                        <c:v>25066.87</c:v>
                      </c:pt>
                      <c:pt idx="10">
                        <c:v>25092.23</c:v>
                      </c:pt>
                    </c:numCache>
                  </c:numRef>
                </c:val>
                <c:smooth val="0"/>
                <c:extLst xmlns:c15="http://schemas.microsoft.com/office/drawing/2012/chart">
                  <c:ext xmlns:c16="http://schemas.microsoft.com/office/drawing/2014/chart" uri="{C3380CC4-5D6E-409C-BE32-E72D297353CC}">
                    <c16:uniqueId val="{00000005-E2EE-4E1C-99C1-134DA11DD894}"/>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List1!$A$5</c15:sqref>
                        </c15:formulaRef>
                      </c:ext>
                    </c:extLst>
                    <c:strCache>
                      <c:ptCount val="1"/>
                      <c:pt idx="0">
                        <c:v>Německo</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List1!$B$5:$L$5</c15:sqref>
                        </c15:formulaRef>
                      </c:ext>
                    </c:extLst>
                    <c:numCache>
                      <c:formatCode>#\ ##0.##########</c:formatCode>
                      <c:ptCount val="11"/>
                      <c:pt idx="0">
                        <c:v>23913.65</c:v>
                      </c:pt>
                      <c:pt idx="1">
                        <c:v>24880.11</c:v>
                      </c:pt>
                      <c:pt idx="2" formatCode="#,##0.00">
                        <c:v>25491</c:v>
                      </c:pt>
                      <c:pt idx="3">
                        <c:v>25585.24</c:v>
                      </c:pt>
                      <c:pt idx="4">
                        <c:v>26208.43</c:v>
                      </c:pt>
                      <c:pt idx="5">
                        <c:v>26540.41</c:v>
                      </c:pt>
                      <c:pt idx="6">
                        <c:v>27137.79</c:v>
                      </c:pt>
                      <c:pt idx="7" formatCode="#,##0.00">
                        <c:v>27740.2</c:v>
                      </c:pt>
                      <c:pt idx="8">
                        <c:v>28804.44</c:v>
                      </c:pt>
                      <c:pt idx="9">
                        <c:v>29421.34</c:v>
                      </c:pt>
                      <c:pt idx="10">
                        <c:v>29653.26</c:v>
                      </c:pt>
                    </c:numCache>
                  </c:numRef>
                </c:val>
                <c:smooth val="0"/>
                <c:extLst xmlns:c15="http://schemas.microsoft.com/office/drawing/2012/chart">
                  <c:ext xmlns:c16="http://schemas.microsoft.com/office/drawing/2014/chart" uri="{C3380CC4-5D6E-409C-BE32-E72D297353CC}">
                    <c16:uniqueId val="{00000006-E2EE-4E1C-99C1-134DA11DD894}"/>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List1!$A$6</c15:sqref>
                        </c15:formulaRef>
                      </c:ext>
                    </c:extLst>
                    <c:strCache>
                      <c:ptCount val="1"/>
                      <c:pt idx="0">
                        <c:v>Estonsko</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List1!$B$6:$L$6</c15:sqref>
                        </c15:formulaRef>
                      </c:ext>
                    </c:extLst>
                    <c:numCache>
                      <c:formatCode>#,##0.00</c:formatCode>
                      <c:ptCount val="11"/>
                      <c:pt idx="0" formatCode="#\ ##0.##########">
                        <c:v>10708.04</c:v>
                      </c:pt>
                      <c:pt idx="1">
                        <c:v>11217.5</c:v>
                      </c:pt>
                      <c:pt idx="2" formatCode="#\ ##0.##########">
                        <c:v>11676.73</c:v>
                      </c:pt>
                      <c:pt idx="3" formatCode="#\ ##0.##########">
                        <c:v>12295.26</c:v>
                      </c:pt>
                      <c:pt idx="4" formatCode="#\ ##0.##########">
                        <c:v>12794.05</c:v>
                      </c:pt>
                      <c:pt idx="5" formatCode="#\ ##0.##########">
                        <c:v>13722.57</c:v>
                      </c:pt>
                      <c:pt idx="6" formatCode="#\ ##0.##########">
                        <c:v>14529.96</c:v>
                      </c:pt>
                      <c:pt idx="7" formatCode="#\ ##0.##########">
                        <c:v>15125.42</c:v>
                      </c:pt>
                      <c:pt idx="8" formatCode="#\ ##0.##########">
                        <c:v>16106.22</c:v>
                      </c:pt>
                      <c:pt idx="9" formatCode="#\ ##0.##########">
                        <c:v>16606.91</c:v>
                      </c:pt>
                      <c:pt idx="10" formatCode="#\ ##0.##########">
                        <c:v>16464.29</c:v>
                      </c:pt>
                    </c:numCache>
                  </c:numRef>
                </c:val>
                <c:smooth val="0"/>
                <c:extLst xmlns:c15="http://schemas.microsoft.com/office/drawing/2012/chart">
                  <c:ext xmlns:c16="http://schemas.microsoft.com/office/drawing/2014/chart" uri="{C3380CC4-5D6E-409C-BE32-E72D297353CC}">
                    <c16:uniqueId val="{00000007-E2EE-4E1C-99C1-134DA11DD894}"/>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List1!$A$8</c15:sqref>
                        </c15:formulaRef>
                      </c:ext>
                    </c:extLst>
                    <c:strCache>
                      <c:ptCount val="1"/>
                      <c:pt idx="0">
                        <c:v>Rakousko</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List1!$B$8:$L$8</c15:sqref>
                        </c15:formulaRef>
                      </c:ext>
                    </c:extLst>
                    <c:numCache>
                      <c:formatCode>#\ ##0.##########</c:formatCode>
                      <c:ptCount val="11"/>
                      <c:pt idx="0">
                        <c:v>24164.89</c:v>
                      </c:pt>
                      <c:pt idx="1">
                        <c:v>24555.84</c:v>
                      </c:pt>
                      <c:pt idx="2" formatCode="#,##0.00">
                        <c:v>24901.9</c:v>
                      </c:pt>
                      <c:pt idx="3">
                        <c:v>25346.560000000001</c:v>
                      </c:pt>
                      <c:pt idx="4">
                        <c:v>25561.53</c:v>
                      </c:pt>
                      <c:pt idx="5">
                        <c:v>26096.63</c:v>
                      </c:pt>
                      <c:pt idx="6" formatCode="#,##0.00">
                        <c:v>27695.7</c:v>
                      </c:pt>
                      <c:pt idx="7">
                        <c:v>27832.82</c:v>
                      </c:pt>
                      <c:pt idx="8">
                        <c:v>28106.28</c:v>
                      </c:pt>
                      <c:pt idx="9" formatCode="#,##0.00">
                        <c:v>28404.2</c:v>
                      </c:pt>
                      <c:pt idx="10">
                        <c:v>28830.35</c:v>
                      </c:pt>
                    </c:numCache>
                  </c:numRef>
                </c:val>
                <c:smooth val="0"/>
                <c:extLst xmlns:c15="http://schemas.microsoft.com/office/drawing/2012/chart">
                  <c:ext xmlns:c16="http://schemas.microsoft.com/office/drawing/2014/chart" uri="{C3380CC4-5D6E-409C-BE32-E72D297353CC}">
                    <c16:uniqueId val="{00000008-E2EE-4E1C-99C1-134DA11DD894}"/>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List1!$A$10</c15:sqref>
                        </c15:formulaRef>
                      </c:ext>
                    </c:extLst>
                    <c:strCache>
                      <c:ptCount val="1"/>
                      <c:pt idx="0">
                        <c:v>Portugalsko</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List1!$B$10:$L$10</c15:sqref>
                        </c15:formulaRef>
                      </c:ext>
                    </c:extLst>
                    <c:numCache>
                      <c:formatCode>#\ ##0.##########</c:formatCode>
                      <c:ptCount val="11"/>
                      <c:pt idx="0" formatCode="#,##0.00">
                        <c:v>14769.2</c:v>
                      </c:pt>
                      <c:pt idx="1">
                        <c:v>14195.52</c:v>
                      </c:pt>
                      <c:pt idx="2" formatCode="#,##0.00">
                        <c:v>15122.5</c:v>
                      </c:pt>
                      <c:pt idx="3">
                        <c:v>14986.48</c:v>
                      </c:pt>
                      <c:pt idx="4">
                        <c:v>14609.51</c:v>
                      </c:pt>
                      <c:pt idx="5" formatCode="#,##0.00">
                        <c:v>14382.9</c:v>
                      </c:pt>
                      <c:pt idx="6">
                        <c:v>14562.46</c:v>
                      </c:pt>
                      <c:pt idx="7">
                        <c:v>14658.76</c:v>
                      </c:pt>
                      <c:pt idx="8">
                        <c:v>15508.82</c:v>
                      </c:pt>
                      <c:pt idx="9">
                        <c:v>16051.28</c:v>
                      </c:pt>
                      <c:pt idx="10">
                        <c:v>16156.48</c:v>
                      </c:pt>
                    </c:numCache>
                  </c:numRef>
                </c:val>
                <c:smooth val="0"/>
                <c:extLst xmlns:c15="http://schemas.microsoft.com/office/drawing/2012/chart">
                  <c:ext xmlns:c16="http://schemas.microsoft.com/office/drawing/2014/chart" uri="{C3380CC4-5D6E-409C-BE32-E72D297353CC}">
                    <c16:uniqueId val="{00000009-E2EE-4E1C-99C1-134DA11DD894}"/>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List1!$A$11</c15:sqref>
                        </c15:formulaRef>
                      </c:ext>
                    </c:extLst>
                    <c:strCache>
                      <c:ptCount val="1"/>
                      <c:pt idx="0">
                        <c:v>Slovinsko</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List1!$B$11:$L$11</c15:sqref>
                        </c15:formulaRef>
                      </c:ext>
                    </c:extLst>
                    <c:numCache>
                      <c:formatCode>#\ ##0.##########</c:formatCode>
                      <c:ptCount val="11"/>
                      <c:pt idx="0">
                        <c:v>12977.86</c:v>
                      </c:pt>
                      <c:pt idx="1">
                        <c:v>13448.31</c:v>
                      </c:pt>
                      <c:pt idx="2" formatCode="#,##0.00">
                        <c:v>13690</c:v>
                      </c:pt>
                      <c:pt idx="3">
                        <c:v>13830.74</c:v>
                      </c:pt>
                      <c:pt idx="4">
                        <c:v>13901.06</c:v>
                      </c:pt>
                      <c:pt idx="5">
                        <c:v>14021.08</c:v>
                      </c:pt>
                      <c:pt idx="6" formatCode="#,##0.00">
                        <c:v>14030.9</c:v>
                      </c:pt>
                      <c:pt idx="7">
                        <c:v>14425.32</c:v>
                      </c:pt>
                      <c:pt idx="8">
                        <c:v>14816.05</c:v>
                      </c:pt>
                      <c:pt idx="9">
                        <c:v>15291.02</c:v>
                      </c:pt>
                      <c:pt idx="10">
                        <c:v>15561.97</c:v>
                      </c:pt>
                    </c:numCache>
                  </c:numRef>
                </c:val>
                <c:smooth val="0"/>
                <c:extLst xmlns:c15="http://schemas.microsoft.com/office/drawing/2012/chart">
                  <c:ext xmlns:c16="http://schemas.microsoft.com/office/drawing/2014/chart" uri="{C3380CC4-5D6E-409C-BE32-E72D297353CC}">
                    <c16:uniqueId val="{0000000A-E2EE-4E1C-99C1-134DA11DD894}"/>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List1!$A$13</c15:sqref>
                        </c15:formulaRef>
                      </c:ext>
                    </c:extLst>
                    <c:strCache>
                      <c:ptCount val="1"/>
                      <c:pt idx="0">
                        <c:v>Švýcarsko</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List1!$B$13:$L$13</c15:sqref>
                        </c15:formulaRef>
                      </c:ext>
                    </c:extLst>
                    <c:numCache>
                      <c:formatCode>#\ ##0.##########</c:formatCode>
                      <c:ptCount val="11"/>
                      <c:pt idx="0">
                        <c:v>35678.42</c:v>
                      </c:pt>
                      <c:pt idx="1">
                        <c:v>36442.57</c:v>
                      </c:pt>
                      <c:pt idx="2">
                        <c:v>38905.93</c:v>
                      </c:pt>
                      <c:pt idx="3">
                        <c:v>40010.660000000003</c:v>
                      </c:pt>
                      <c:pt idx="4">
                        <c:v>38879.96</c:v>
                      </c:pt>
                      <c:pt idx="5">
                        <c:v>39570.370000000003</c:v>
                      </c:pt>
                      <c:pt idx="6">
                        <c:v>40224.629999999997</c:v>
                      </c:pt>
                      <c:pt idx="7">
                        <c:v>40469.99</c:v>
                      </c:pt>
                      <c:pt idx="8">
                        <c:v>40788.120000000003</c:v>
                      </c:pt>
                      <c:pt idx="9" formatCode="#,##0.00">
                        <c:v>41321.800000000003</c:v>
                      </c:pt>
                      <c:pt idx="10">
                        <c:v>39567.94</c:v>
                      </c:pt>
                    </c:numCache>
                  </c:numRef>
                </c:val>
                <c:smooth val="0"/>
                <c:extLst xmlns:c15="http://schemas.microsoft.com/office/drawing/2012/chart">
                  <c:ext xmlns:c16="http://schemas.microsoft.com/office/drawing/2014/chart" uri="{C3380CC4-5D6E-409C-BE32-E72D297353CC}">
                    <c16:uniqueId val="{0000000B-E2EE-4E1C-99C1-134DA11DD894}"/>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List1!$A$14</c15:sqref>
                        </c15:formulaRef>
                      </c:ext>
                    </c:extLst>
                    <c:strCache>
                      <c:ptCount val="1"/>
                      <c:pt idx="0">
                        <c:v>USA</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List1!$B$1:$L$1</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List1!$B$14:$L$14</c15:sqref>
                        </c15:formulaRef>
                      </c:ext>
                    </c:extLst>
                    <c:numCache>
                      <c:formatCode>#\ ##0.##########</c:formatCode>
                      <c:ptCount val="11"/>
                      <c:pt idx="0">
                        <c:v>27903.72</c:v>
                      </c:pt>
                      <c:pt idx="1">
                        <c:v>28543.97</c:v>
                      </c:pt>
                      <c:pt idx="2">
                        <c:v>29005.42</c:v>
                      </c:pt>
                      <c:pt idx="3">
                        <c:v>28472.47</c:v>
                      </c:pt>
                      <c:pt idx="4">
                        <c:v>28891.119999999999</c:v>
                      </c:pt>
                      <c:pt idx="5">
                        <c:v>29548.12</c:v>
                      </c:pt>
                      <c:pt idx="6">
                        <c:v>29168.25</c:v>
                      </c:pt>
                      <c:pt idx="7">
                        <c:v>29603.45</c:v>
                      </c:pt>
                      <c:pt idx="8" formatCode="#,##0.00">
                        <c:v>30819.1</c:v>
                      </c:pt>
                      <c:pt idx="9">
                        <c:v>31547.51</c:v>
                      </c:pt>
                      <c:pt idx="10">
                        <c:v>34219.94</c:v>
                      </c:pt>
                    </c:numCache>
                  </c:numRef>
                </c:val>
                <c:smooth val="0"/>
                <c:extLst xmlns:c15="http://schemas.microsoft.com/office/drawing/2012/chart">
                  <c:ext xmlns:c16="http://schemas.microsoft.com/office/drawing/2014/chart" uri="{C3380CC4-5D6E-409C-BE32-E72D297353CC}">
                    <c16:uniqueId val="{0000000C-E2EE-4E1C-99C1-134DA11DD894}"/>
                  </c:ext>
                </c:extLst>
              </c15:ser>
            </c15:filteredLineSeries>
          </c:ext>
        </c:extLst>
      </c:lineChart>
      <c:catAx>
        <c:axId val="37543991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5440296"/>
        <c:crosses val="autoZero"/>
        <c:auto val="1"/>
        <c:lblAlgn val="ctr"/>
        <c:lblOffset val="100"/>
        <c:noMultiLvlLbl val="0"/>
      </c:catAx>
      <c:valAx>
        <c:axId val="375440296"/>
        <c:scaling>
          <c:orientation val="minMax"/>
          <c:min val="8000"/>
        </c:scaling>
        <c:delete val="0"/>
        <c:axPos val="l"/>
        <c:majorGridlines>
          <c:spPr>
            <a:ln w="12700"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5439912"/>
        <c:crosses val="autoZero"/>
        <c:crossBetween val="between"/>
      </c:valAx>
      <c:spPr>
        <a:noFill/>
        <a:ln>
          <a:noFill/>
        </a:ln>
        <a:effectLst/>
      </c:spPr>
    </c:plotArea>
    <c:legend>
      <c:legendPos val="b"/>
      <c:layout>
        <c:manualLayout>
          <c:xMode val="edge"/>
          <c:yMode val="edge"/>
          <c:x val="0.24281815937805012"/>
          <c:y val="0.91716190714043255"/>
          <c:w val="0.51436353027053672"/>
          <c:h val="7.83708156650175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latin typeface="+mj-lt"/>
              </a:rPr>
              <a:t>Celkové čisté jmění domácností (per capita, USD PPP)</a:t>
            </a:r>
            <a:endParaRPr lang="en-US">
              <a:solidFill>
                <a:sysClr val="windowText" lastClr="000000"/>
              </a:solidFill>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List3!$B$1</c:f>
              <c:strCache>
                <c:ptCount val="1"/>
                <c:pt idx="0">
                  <c:v>2020</c:v>
                </c:pt>
              </c:strCache>
            </c:strRef>
          </c:tx>
          <c:spPr>
            <a:solidFill>
              <a:srgbClr val="FFC832"/>
            </a:solidFill>
            <a:ln>
              <a:noFill/>
            </a:ln>
            <a:effectLst/>
          </c:spPr>
          <c:invertIfNegative val="0"/>
          <c:cat>
            <c:strRef>
              <c:f>List3!$A$2:$A$11</c:f>
              <c:strCache>
                <c:ptCount val="10"/>
                <c:pt idx="0">
                  <c:v>USA</c:v>
                </c:pt>
                <c:pt idx="1">
                  <c:v>Švýcarsko</c:v>
                </c:pt>
                <c:pt idx="2">
                  <c:v>Rakousko</c:v>
                </c:pt>
                <c:pt idx="3">
                  <c:v>Německo</c:v>
                </c:pt>
                <c:pt idx="4">
                  <c:v>Česká republika</c:v>
                </c:pt>
                <c:pt idx="5">
                  <c:v>Slovinsko</c:v>
                </c:pt>
                <c:pt idx="6">
                  <c:v>Maďarsko</c:v>
                </c:pt>
                <c:pt idx="7">
                  <c:v>Estonsko</c:v>
                </c:pt>
                <c:pt idx="8">
                  <c:v>Polsko</c:v>
                </c:pt>
                <c:pt idx="9">
                  <c:v>Slovensko</c:v>
                </c:pt>
              </c:strCache>
            </c:strRef>
          </c:cat>
          <c:val>
            <c:numRef>
              <c:f>List3!$B$2:$B$11</c:f>
              <c:numCache>
                <c:formatCode>#\ ##0_ ;\-#\ ##0\ </c:formatCode>
                <c:ptCount val="10"/>
                <c:pt idx="0">
                  <c:v>264460.90000000002</c:v>
                </c:pt>
                <c:pt idx="1">
                  <c:v>200686.1</c:v>
                </c:pt>
                <c:pt idx="2">
                  <c:v>83907.3</c:v>
                </c:pt>
                <c:pt idx="3">
                  <c:v>77886.009999999995</c:v>
                </c:pt>
                <c:pt idx="4">
                  <c:v>44839.18</c:v>
                </c:pt>
                <c:pt idx="5">
                  <c:v>41186.11</c:v>
                </c:pt>
                <c:pt idx="6">
                  <c:v>39953.980000000003</c:v>
                </c:pt>
                <c:pt idx="7">
                  <c:v>36766.99</c:v>
                </c:pt>
                <c:pt idx="8">
                  <c:v>25007.62</c:v>
                </c:pt>
                <c:pt idx="9">
                  <c:v>16951.830000000002</c:v>
                </c:pt>
              </c:numCache>
            </c:numRef>
          </c:val>
          <c:extLst>
            <c:ext xmlns:c16="http://schemas.microsoft.com/office/drawing/2014/chart" uri="{C3380CC4-5D6E-409C-BE32-E72D297353CC}">
              <c16:uniqueId val="{00000000-DE13-471F-8772-A8C037250744}"/>
            </c:ext>
          </c:extLst>
        </c:ser>
        <c:dLbls>
          <c:showLegendKey val="0"/>
          <c:showVal val="0"/>
          <c:showCatName val="0"/>
          <c:showSerName val="0"/>
          <c:showPercent val="0"/>
          <c:showBubbleSize val="0"/>
        </c:dLbls>
        <c:gapWidth val="219"/>
        <c:overlap val="-27"/>
        <c:axId val="375394288"/>
        <c:axId val="375505960"/>
      </c:barChart>
      <c:catAx>
        <c:axId val="37539428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cs-CZ"/>
          </a:p>
        </c:txPr>
        <c:crossAx val="375505960"/>
        <c:crosses val="autoZero"/>
        <c:auto val="1"/>
        <c:lblAlgn val="ctr"/>
        <c:lblOffset val="100"/>
        <c:noMultiLvlLbl val="0"/>
      </c:catAx>
      <c:valAx>
        <c:axId val="375505960"/>
        <c:scaling>
          <c:orientation val="minMax"/>
        </c:scaling>
        <c:delete val="0"/>
        <c:axPos val="l"/>
        <c:majorGridlines>
          <c:spPr>
            <a:ln w="12700" cap="flat" cmpd="sng" algn="ctr">
              <a:solidFill>
                <a:schemeClr val="tx1">
                  <a:lumMod val="15000"/>
                  <a:lumOff val="85000"/>
                </a:schemeClr>
              </a:solidFill>
              <a:prstDash val="sysDot"/>
              <a:round/>
            </a:ln>
            <a:effectLst/>
          </c:spPr>
        </c:majorGridlines>
        <c:numFmt formatCode="#\ ##0_ ;\-#\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5394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latin typeface="+mj-lt"/>
              </a:rPr>
              <a:t>Rozdělení finančních aktiv domácností (2020, vybrané země)</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stacked"/>
        <c:varyColors val="0"/>
        <c:ser>
          <c:idx val="0"/>
          <c:order val="0"/>
          <c:tx>
            <c:strRef>
              <c:f>List5!$B$1</c:f>
              <c:strCache>
                <c:ptCount val="1"/>
                <c:pt idx="0">
                  <c:v>Vklady a hotovost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(List5!$B$2:$B$6,List5!$B$8:$B$10)</c:f>
              <c:numCache>
                <c:formatCode>0.0%</c:formatCode>
                <c:ptCount val="8"/>
                <c:pt idx="0">
                  <c:v>0.12681220000000001</c:v>
                </c:pt>
                <c:pt idx="1">
                  <c:v>0.31952130000000001</c:v>
                </c:pt>
                <c:pt idx="2">
                  <c:v>0.40884189999999998</c:v>
                </c:pt>
                <c:pt idx="3" formatCode="0.00%">
                  <c:v>0.39677639999999997</c:v>
                </c:pt>
                <c:pt idx="4">
                  <c:v>0.44824330000000001</c:v>
                </c:pt>
                <c:pt idx="5">
                  <c:v>0.28009499999999998</c:v>
                </c:pt>
                <c:pt idx="6">
                  <c:v>0.52621189999999995</c:v>
                </c:pt>
                <c:pt idx="7">
                  <c:v>0.55731850000000005</c:v>
                </c:pt>
              </c:numCache>
              <c:extLst/>
            </c:numRef>
          </c:val>
          <c:extLst>
            <c:ext xmlns:c16="http://schemas.microsoft.com/office/drawing/2014/chart" uri="{C3380CC4-5D6E-409C-BE32-E72D297353CC}">
              <c16:uniqueId val="{00000000-A271-4CA4-A6D1-920B638D6635}"/>
            </c:ext>
          </c:extLst>
        </c:ser>
        <c:ser>
          <c:idx val="1"/>
          <c:order val="1"/>
          <c:tx>
            <c:strRef>
              <c:f>List5!$C$1</c:f>
              <c:strCache>
                <c:ptCount val="1"/>
                <c:pt idx="0">
                  <c:v>Životní pojištění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(List5!$C$2:$C$6,List5!$C$8:$C$10)</c:f>
              <c:numCache>
                <c:formatCode>0.0%</c:formatCode>
                <c:ptCount val="8"/>
                <c:pt idx="0">
                  <c:v>5.2667720000000001E-2</c:v>
                </c:pt>
                <c:pt idx="1">
                  <c:v>3.7377279999999999E-2</c:v>
                </c:pt>
                <c:pt idx="2">
                  <c:v>0.107692</c:v>
                </c:pt>
                <c:pt idx="3" formatCode="0.00%">
                  <c:v>0.1147232</c:v>
                </c:pt>
                <c:pt idx="4">
                  <c:v>3.1792689999999998E-2</c:v>
                </c:pt>
                <c:pt idx="5">
                  <c:v>3.2259900000000001E-2</c:v>
                </c:pt>
                <c:pt idx="6">
                  <c:v>2.704558E-2</c:v>
                </c:pt>
                <c:pt idx="7">
                  <c:v>5.1518189999999998E-2</c:v>
                </c:pt>
              </c:numCache>
              <c:extLst/>
            </c:numRef>
          </c:val>
          <c:extLst>
            <c:ext xmlns:c16="http://schemas.microsoft.com/office/drawing/2014/chart" uri="{C3380CC4-5D6E-409C-BE32-E72D297353CC}">
              <c16:uniqueId val="{00000001-A271-4CA4-A6D1-920B638D6635}"/>
            </c:ext>
          </c:extLst>
        </c:ser>
        <c:ser>
          <c:idx val="2"/>
          <c:order val="2"/>
          <c:tx>
            <c:strRef>
              <c:f>List5!$D$1</c:f>
              <c:strCache>
                <c:ptCount val="1"/>
                <c:pt idx="0">
                  <c:v>Podílové fondy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(List5!$D$2:$D$6,List5!$D$8:$D$10)</c:f>
              <c:numCache>
                <c:formatCode>0.0%</c:formatCode>
                <c:ptCount val="8"/>
                <c:pt idx="0">
                  <c:v>0.13043540000000001</c:v>
                </c:pt>
                <c:pt idx="1">
                  <c:v>0.11865299999999999</c:v>
                </c:pt>
                <c:pt idx="2">
                  <c:v>9.4117610000000004E-2</c:v>
                </c:pt>
                <c:pt idx="3" formatCode="0.00%">
                  <c:v>2.2872420000000001E-2</c:v>
                </c:pt>
                <c:pt idx="4">
                  <c:v>6.7728049999999998E-2</c:v>
                </c:pt>
                <c:pt idx="5">
                  <c:v>6.6385379999999994E-2</c:v>
                </c:pt>
                <c:pt idx="6">
                  <c:v>5.3258609999999998E-2</c:v>
                </c:pt>
                <c:pt idx="7">
                  <c:v>6.8029010000000001E-2</c:v>
                </c:pt>
              </c:numCache>
              <c:extLst/>
            </c:numRef>
          </c:val>
          <c:extLst>
            <c:ext xmlns:c16="http://schemas.microsoft.com/office/drawing/2014/chart" uri="{C3380CC4-5D6E-409C-BE32-E72D297353CC}">
              <c16:uniqueId val="{00000002-A271-4CA4-A6D1-920B638D6635}"/>
            </c:ext>
          </c:extLst>
        </c:ser>
        <c:ser>
          <c:idx val="3"/>
          <c:order val="3"/>
          <c:tx>
            <c:strRef>
              <c:f>List5!$E$1</c:f>
              <c:strCache>
                <c:ptCount val="1"/>
                <c:pt idx="0">
                  <c:v>Penzijní fondy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(List5!$E$2:$E$6,List5!$E$8:$E$10)</c:f>
              <c:numCache>
                <c:formatCode>0.0%</c:formatCode>
                <c:ptCount val="8"/>
                <c:pt idx="0">
                  <c:v>0.25361149999999999</c:v>
                </c:pt>
                <c:pt idx="1">
                  <c:v>0.33980549999999998</c:v>
                </c:pt>
                <c:pt idx="2">
                  <c:v>8.2719840000000003E-2</c:v>
                </c:pt>
                <c:pt idx="3" formatCode="0.00%">
                  <c:v>0.10693610000000001</c:v>
                </c:pt>
                <c:pt idx="4">
                  <c:v>6.2010700000000002E-2</c:v>
                </c:pt>
                <c:pt idx="5">
                  <c:v>3.095291E-2</c:v>
                </c:pt>
                <c:pt idx="6">
                  <c:v>7.1692480000000003E-2</c:v>
                </c:pt>
                <c:pt idx="7">
                  <c:v>0.13802339999999999</c:v>
                </c:pt>
              </c:numCache>
              <c:extLst/>
            </c:numRef>
          </c:val>
          <c:extLst>
            <c:ext xmlns:c16="http://schemas.microsoft.com/office/drawing/2014/chart" uri="{C3380CC4-5D6E-409C-BE32-E72D297353CC}">
              <c16:uniqueId val="{00000003-A271-4CA4-A6D1-920B638D6635}"/>
            </c:ext>
          </c:extLst>
        </c:ser>
        <c:ser>
          <c:idx val="4"/>
          <c:order val="4"/>
          <c:tx>
            <c:strRef>
              <c:f>List5!$F$1</c:f>
              <c:strCache>
                <c:ptCount val="1"/>
                <c:pt idx="0">
                  <c:v>Cenné papíry (jiné než akcie)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(List5!$F$2:$F$6,List5!$F$8:$F$10)</c:f>
              <c:numCache>
                <c:formatCode>0.0%</c:formatCode>
                <c:ptCount val="8"/>
                <c:pt idx="0">
                  <c:v>4.3016359999999997E-2</c:v>
                </c:pt>
                <c:pt idx="1">
                  <c:v>2.976411E-2</c:v>
                </c:pt>
                <c:pt idx="2">
                  <c:v>3.3689089999999998E-2</c:v>
                </c:pt>
                <c:pt idx="3" formatCode="0.00%">
                  <c:v>0.15952769999999999</c:v>
                </c:pt>
                <c:pt idx="4">
                  <c:v>1.940306E-2</c:v>
                </c:pt>
                <c:pt idx="5">
                  <c:v>0.13677149999999999</c:v>
                </c:pt>
                <c:pt idx="6">
                  <c:v>4.6870979999999998E-3</c:v>
                </c:pt>
                <c:pt idx="7">
                  <c:v>3.8400749999999997E-2</c:v>
                </c:pt>
              </c:numCache>
              <c:extLst/>
            </c:numRef>
          </c:val>
          <c:extLst>
            <c:ext xmlns:c16="http://schemas.microsoft.com/office/drawing/2014/chart" uri="{C3380CC4-5D6E-409C-BE32-E72D297353CC}">
              <c16:uniqueId val="{00000004-A271-4CA4-A6D1-920B638D6635}"/>
            </c:ext>
          </c:extLst>
        </c:ser>
        <c:ser>
          <c:idx val="5"/>
          <c:order val="5"/>
          <c:tx>
            <c:strRef>
              <c:f>List5!$G$1</c:f>
              <c:strCache>
                <c:ptCount val="1"/>
                <c:pt idx="0">
                  <c:v>Akcie a jiný vlastní kapitál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(List5!$G$2:$G$6,List5!$G$8:$G$10)</c:f>
              <c:numCache>
                <c:formatCode>0.0%</c:formatCode>
                <c:ptCount val="8"/>
                <c:pt idx="0">
                  <c:v>0.36886570000000002</c:v>
                </c:pt>
                <c:pt idx="1">
                  <c:v>0.13168199999999999</c:v>
                </c:pt>
                <c:pt idx="2">
                  <c:v>0.24854229999999999</c:v>
                </c:pt>
                <c:pt idx="3" formatCode="0.00%">
                  <c:v>0.1359831</c:v>
                </c:pt>
                <c:pt idx="4">
                  <c:v>0.32726480000000002</c:v>
                </c:pt>
                <c:pt idx="5">
                  <c:v>0.33654240000000002</c:v>
                </c:pt>
                <c:pt idx="6">
                  <c:v>0.20655780000000001</c:v>
                </c:pt>
                <c:pt idx="7">
                  <c:v>0.1135217</c:v>
                </c:pt>
              </c:numCache>
              <c:extLst/>
            </c:numRef>
          </c:val>
          <c:extLst>
            <c:ext xmlns:c16="http://schemas.microsoft.com/office/drawing/2014/chart" uri="{C3380CC4-5D6E-409C-BE32-E72D297353CC}">
              <c16:uniqueId val="{00000005-A271-4CA4-A6D1-920B638D6635}"/>
            </c:ext>
          </c:extLst>
        </c:ser>
        <c:ser>
          <c:idx val="6"/>
          <c:order val="6"/>
          <c:tx>
            <c:strRef>
              <c:f>List5!$H$1</c:f>
              <c:strCache>
                <c:ptCount val="1"/>
                <c:pt idx="0">
                  <c:v>Ostatní</c:v>
                </c:pt>
              </c:strCache>
            </c:strRef>
          </c:tx>
          <c:spPr>
            <a:solidFill>
              <a:srgbClr val="003C7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(List5!$A$2:$A$6,List5!$A$8:$A$10)</c:f>
              <c:strCache>
                <c:ptCount val="8"/>
                <c:pt idx="0">
                  <c:v>USA</c:v>
                </c:pt>
                <c:pt idx="1">
                  <c:v>Švýcarsko</c:v>
                </c:pt>
                <c:pt idx="2">
                  <c:v>Rakousko</c:v>
                </c:pt>
                <c:pt idx="3">
                  <c:v>Německo</c:v>
                </c:pt>
                <c:pt idx="4">
                  <c:v>Česká republika</c:v>
                </c:pt>
                <c:pt idx="5">
                  <c:v>Maďarsko</c:v>
                </c:pt>
                <c:pt idx="6">
                  <c:v>Polsko</c:v>
                </c:pt>
                <c:pt idx="7">
                  <c:v>Slovensko</c:v>
                </c:pt>
              </c:strCache>
              <c:extLst/>
            </c:strRef>
          </c:cat>
          <c:val>
            <c:numRef>
              <c:f>(List5!$H$2:$H$6,List5!$H$8:$H$10)</c:f>
              <c:numCache>
                <c:formatCode>0.0%</c:formatCode>
                <c:ptCount val="8"/>
                <c:pt idx="0">
                  <c:v>2.4591119999999966E-2</c:v>
                </c:pt>
                <c:pt idx="1">
                  <c:v>2.3196809999999957E-2</c:v>
                </c:pt>
                <c:pt idx="2">
                  <c:v>2.4397260000000087E-2</c:v>
                </c:pt>
                <c:pt idx="3">
                  <c:v>6.3181080000000112E-2</c:v>
                </c:pt>
                <c:pt idx="4">
                  <c:v>4.3557399999999968E-2</c:v>
                </c:pt>
                <c:pt idx="5">
                  <c:v>0.11699291000000001</c:v>
                </c:pt>
                <c:pt idx="6">
                  <c:v>0.11054653199999998</c:v>
                </c:pt>
                <c:pt idx="7">
                  <c:v>3.3188449999999925E-2</c:v>
                </c:pt>
              </c:numCache>
              <c:extLst/>
            </c:numRef>
          </c:val>
          <c:extLst>
            <c:ext xmlns:c16="http://schemas.microsoft.com/office/drawing/2014/chart" uri="{C3380CC4-5D6E-409C-BE32-E72D297353CC}">
              <c16:uniqueId val="{00000006-A271-4CA4-A6D1-920B638D6635}"/>
            </c:ext>
          </c:extLst>
        </c:ser>
        <c:dLbls>
          <c:showLegendKey val="0"/>
          <c:showVal val="0"/>
          <c:showCatName val="0"/>
          <c:showSerName val="0"/>
          <c:showPercent val="0"/>
          <c:showBubbleSize val="0"/>
        </c:dLbls>
        <c:gapWidth val="66"/>
        <c:overlap val="100"/>
        <c:axId val="375507136"/>
        <c:axId val="375506352"/>
      </c:barChart>
      <c:catAx>
        <c:axId val="375507136"/>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5506352"/>
        <c:crosses val="autoZero"/>
        <c:auto val="1"/>
        <c:lblAlgn val="ctr"/>
        <c:lblOffset val="100"/>
        <c:noMultiLvlLbl val="0"/>
      </c:catAx>
      <c:valAx>
        <c:axId val="375506352"/>
        <c:scaling>
          <c:orientation val="minMax"/>
          <c:max val="1"/>
        </c:scaling>
        <c:delete val="0"/>
        <c:axPos val="l"/>
        <c:majorGridlines>
          <c:spPr>
            <a:ln w="12700" cap="flat" cmpd="sng" algn="ctr">
              <a:solidFill>
                <a:schemeClr val="tx1">
                  <a:lumMod val="15000"/>
                  <a:lumOff val="85000"/>
                </a:schemeClr>
              </a:solidFill>
              <a:prstDash val="sysDot"/>
              <a:round/>
            </a:ln>
            <a:effectLst/>
          </c:spPr>
        </c:majorGridlines>
        <c:numFmt formatCode="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5507136"/>
        <c:crosses val="autoZero"/>
        <c:crossBetween val="between"/>
      </c:valAx>
      <c:spPr>
        <a:noFill/>
        <a:ln>
          <a:noFill/>
        </a:ln>
        <a:effectLst/>
      </c:spPr>
    </c:plotArea>
    <c:legend>
      <c:legendPos val="b"/>
      <c:layout>
        <c:manualLayout>
          <c:xMode val="edge"/>
          <c:yMode val="edge"/>
          <c:x val="0.1106575493852742"/>
          <c:y val="0.91746338301580421"/>
          <c:w val="0.88356652071809116"/>
          <c:h val="8.25366169841957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b="0" i="0" baseline="0">
                <a:effectLst/>
                <a:latin typeface="+mj-lt"/>
              </a:rPr>
              <a:t>Alokace aktiv v penzijních fondech v zemích OECD</a:t>
            </a:r>
            <a:endParaRPr lang="cs-CZ" sz="800">
              <a:effectLst/>
              <a:latin typeface="+mj-lt"/>
            </a:endParaRPr>
          </a:p>
        </c:rich>
      </c:tx>
      <c:layout>
        <c:manualLayout>
          <c:xMode val="edge"/>
          <c:yMode val="edge"/>
          <c:x val="0.26289448969937196"/>
          <c:y val="6.4219081048603865E-3"/>
        </c:manualLayout>
      </c:layout>
      <c:overlay val="0"/>
    </c:title>
    <c:autoTitleDeleted val="0"/>
    <c:plotArea>
      <c:layout>
        <c:manualLayout>
          <c:layoutTarget val="inner"/>
          <c:xMode val="edge"/>
          <c:yMode val="edge"/>
          <c:x val="0.13655306731168146"/>
          <c:y val="0.10730803635520314"/>
          <c:w val="0.82592933590822848"/>
          <c:h val="0.80019418154778343"/>
        </c:manualLayout>
      </c:layout>
      <c:barChart>
        <c:barDir val="bar"/>
        <c:grouping val="stacked"/>
        <c:varyColors val="0"/>
        <c:ser>
          <c:idx val="0"/>
          <c:order val="0"/>
          <c:tx>
            <c:strRef>
              <c:f>'strana 5'!$B$5</c:f>
              <c:strCache>
                <c:ptCount val="1"/>
                <c:pt idx="0">
                  <c:v>Akcie</c:v>
                </c:pt>
              </c:strCache>
            </c:strRef>
          </c:tx>
          <c:spPr>
            <a:solidFill>
              <a:schemeClr val="bg2"/>
            </a:solidFill>
            <a:ln w="6350" cmpd="sng">
              <a:noFill/>
              <a:round/>
            </a:ln>
            <a:effectLst/>
          </c:spPr>
          <c:invertIfNegative val="0"/>
          <c:cat>
            <c:strRef>
              <c:f>'strana 5'!$A$6:$A$43</c:f>
              <c:strCache>
                <c:ptCount val="38"/>
                <c:pt idx="0">
                  <c:v>Polsko</c:v>
                </c:pt>
                <c:pt idx="1">
                  <c:v>Litva</c:v>
                </c:pt>
                <c:pt idx="2">
                  <c:v>Estonsko</c:v>
                </c:pt>
                <c:pt idx="3">
                  <c:v>Finsko</c:v>
                </c:pt>
                <c:pt idx="4">
                  <c:v>Island</c:v>
                </c:pt>
                <c:pt idx="5">
                  <c:v>Nizozemí</c:v>
                </c:pt>
                <c:pt idx="6">
                  <c:v>Austrálie</c:v>
                </c:pt>
                <c:pt idx="7">
                  <c:v>Kolumbie</c:v>
                </c:pt>
                <c:pt idx="8">
                  <c:v>Nový Zéland</c:v>
                </c:pt>
                <c:pt idx="9">
                  <c:v>Norsko</c:v>
                </c:pt>
                <c:pt idx="10">
                  <c:v>Belgie</c:v>
                </c:pt>
                <c:pt idx="11">
                  <c:v>Chile</c:v>
                </c:pt>
                <c:pt idx="12">
                  <c:v>USA</c:v>
                </c:pt>
                <c:pt idx="13">
                  <c:v>Lotyšsko</c:v>
                </c:pt>
                <c:pt idx="14">
                  <c:v>Maďarsko</c:v>
                </c:pt>
                <c:pt idx="15">
                  <c:v>Švýcarsko</c:v>
                </c:pt>
                <c:pt idx="16">
                  <c:v>Rakousko</c:v>
                </c:pt>
                <c:pt idx="17">
                  <c:v>Švédsko</c:v>
                </c:pt>
                <c:pt idx="18">
                  <c:v>Velká Británie</c:v>
                </c:pt>
                <c:pt idx="19">
                  <c:v>Irsko</c:v>
                </c:pt>
                <c:pt idx="20">
                  <c:v>Lucembursko</c:v>
                </c:pt>
                <c:pt idx="21">
                  <c:v>Kanada </c:v>
                </c:pt>
                <c:pt idx="22">
                  <c:v>Itálie</c:v>
                </c:pt>
                <c:pt idx="23">
                  <c:v>Izrael</c:v>
                </c:pt>
                <c:pt idx="24">
                  <c:v>Dánsko</c:v>
                </c:pt>
                <c:pt idx="25">
                  <c:v>Řecko</c:v>
                </c:pt>
                <c:pt idx="26">
                  <c:v>Mexiko</c:v>
                </c:pt>
                <c:pt idx="27">
                  <c:v>Portugalsko</c:v>
                </c:pt>
                <c:pt idx="28">
                  <c:v>Turecko</c:v>
                </c:pt>
                <c:pt idx="29">
                  <c:v>Španělsko</c:v>
                </c:pt>
                <c:pt idx="30">
                  <c:v>Francie</c:v>
                </c:pt>
                <c:pt idx="31">
                  <c:v>Kostarika</c:v>
                </c:pt>
                <c:pt idx="32">
                  <c:v>Japonsko</c:v>
                </c:pt>
                <c:pt idx="33">
                  <c:v>Německo</c:v>
                </c:pt>
                <c:pt idx="34">
                  <c:v>Slovensko</c:v>
                </c:pt>
                <c:pt idx="35">
                  <c:v>Korejská republika</c:v>
                </c:pt>
                <c:pt idx="36">
                  <c:v>Slovinsko</c:v>
                </c:pt>
                <c:pt idx="37">
                  <c:v>Česká republika</c:v>
                </c:pt>
              </c:strCache>
            </c:strRef>
          </c:cat>
          <c:val>
            <c:numRef>
              <c:f>'strana 5'!$B$6:$B$43</c:f>
              <c:numCache>
                <c:formatCode>#\ ##0.0</c:formatCode>
                <c:ptCount val="38"/>
                <c:pt idx="0">
                  <c:v>85.059893765597081</c:v>
                </c:pt>
                <c:pt idx="1">
                  <c:v>74.435019572952939</c:v>
                </c:pt>
                <c:pt idx="2">
                  <c:v>48.833188695747467</c:v>
                </c:pt>
                <c:pt idx="3">
                  <c:v>47.366959185052288</c:v>
                </c:pt>
                <c:pt idx="4">
                  <c:v>46.490963746441281</c:v>
                </c:pt>
                <c:pt idx="5">
                  <c:v>44.993240490935172</c:v>
                </c:pt>
                <c:pt idx="6">
                  <c:v>42.497639622402218</c:v>
                </c:pt>
                <c:pt idx="7">
                  <c:v>41.470659033085077</c:v>
                </c:pt>
                <c:pt idx="8">
                  <c:v>39.329710144927539</c:v>
                </c:pt>
                <c:pt idx="9">
                  <c:v>38.108981017103403</c:v>
                </c:pt>
                <c:pt idx="10">
                  <c:v>37.786399040365168</c:v>
                </c:pt>
                <c:pt idx="11">
                  <c:v>36.450541284471655</c:v>
                </c:pt>
                <c:pt idx="12">
                  <c:v>34.213715050553425</c:v>
                </c:pt>
                <c:pt idx="13">
                  <c:v>31.472106620533861</c:v>
                </c:pt>
                <c:pt idx="14">
                  <c:v>30.941374159685111</c:v>
                </c:pt>
                <c:pt idx="15">
                  <c:v>30.216582008207126</c:v>
                </c:pt>
                <c:pt idx="16">
                  <c:v>29.275693423850271</c:v>
                </c:pt>
                <c:pt idx="17">
                  <c:v>26.306510266893753</c:v>
                </c:pt>
                <c:pt idx="18">
                  <c:v>25.940576836328169</c:v>
                </c:pt>
                <c:pt idx="19">
                  <c:v>25.296153846153846</c:v>
                </c:pt>
                <c:pt idx="20">
                  <c:v>25.210439536599129</c:v>
                </c:pt>
                <c:pt idx="21">
                  <c:v>24.848082875669938</c:v>
                </c:pt>
                <c:pt idx="22">
                  <c:v>22.519763946108451</c:v>
                </c:pt>
                <c:pt idx="23">
                  <c:v>22.360604698949196</c:v>
                </c:pt>
                <c:pt idx="24">
                  <c:v>20.939088830280294</c:v>
                </c:pt>
                <c:pt idx="25">
                  <c:v>19.35483870967742</c:v>
                </c:pt>
                <c:pt idx="26">
                  <c:v>18.580281006334122</c:v>
                </c:pt>
                <c:pt idx="27">
                  <c:v>18.116122521589539</c:v>
                </c:pt>
                <c:pt idx="28">
                  <c:v>14.327140065061281</c:v>
                </c:pt>
                <c:pt idx="29">
                  <c:v>13.899246464457805</c:v>
                </c:pt>
                <c:pt idx="30">
                  <c:v>11.995335147442661</c:v>
                </c:pt>
                <c:pt idx="31">
                  <c:v>9.3424578055461804</c:v>
                </c:pt>
                <c:pt idx="32">
                  <c:v>8.709448804701033</c:v>
                </c:pt>
                <c:pt idx="33">
                  <c:v>6.5960887886521453</c:v>
                </c:pt>
                <c:pt idx="34">
                  <c:v>3.1050065984086643</c:v>
                </c:pt>
                <c:pt idx="35">
                  <c:v>2.1551013080752819</c:v>
                </c:pt>
                <c:pt idx="36">
                  <c:v>2.0416589940770318</c:v>
                </c:pt>
                <c:pt idx="37">
                  <c:v>1.4627957034716099</c:v>
                </c:pt>
              </c:numCache>
            </c:numRef>
          </c:val>
          <c:extLst>
            <c:ext xmlns:c16="http://schemas.microsoft.com/office/drawing/2014/chart" uri="{C3380CC4-5D6E-409C-BE32-E72D297353CC}">
              <c16:uniqueId val="{00000000-35F0-DE4C-BC41-84573A106EEA}"/>
            </c:ext>
          </c:extLst>
        </c:ser>
        <c:ser>
          <c:idx val="1"/>
          <c:order val="1"/>
          <c:tx>
            <c:strRef>
              <c:f>'strana 5'!$C$5</c:f>
              <c:strCache>
                <c:ptCount val="1"/>
                <c:pt idx="0">
                  <c:v>Dluhopisy</c:v>
                </c:pt>
              </c:strCache>
            </c:strRef>
          </c:tx>
          <c:spPr>
            <a:solidFill>
              <a:schemeClr val="tx2"/>
            </a:solidFill>
            <a:ln w="6350" cmpd="sng">
              <a:noFill/>
              <a:round/>
            </a:ln>
            <a:effectLst/>
          </c:spPr>
          <c:invertIfNegative val="0"/>
          <c:cat>
            <c:strRef>
              <c:f>'strana 5'!$A$6:$A$43</c:f>
              <c:strCache>
                <c:ptCount val="38"/>
                <c:pt idx="0">
                  <c:v>Polsko</c:v>
                </c:pt>
                <c:pt idx="1">
                  <c:v>Litva</c:v>
                </c:pt>
                <c:pt idx="2">
                  <c:v>Estonsko</c:v>
                </c:pt>
                <c:pt idx="3">
                  <c:v>Finsko</c:v>
                </c:pt>
                <c:pt idx="4">
                  <c:v>Island</c:v>
                </c:pt>
                <c:pt idx="5">
                  <c:v>Nizozemí</c:v>
                </c:pt>
                <c:pt idx="6">
                  <c:v>Austrálie</c:v>
                </c:pt>
                <c:pt idx="7">
                  <c:v>Kolumbie</c:v>
                </c:pt>
                <c:pt idx="8">
                  <c:v>Nový Zéland</c:v>
                </c:pt>
                <c:pt idx="9">
                  <c:v>Norsko</c:v>
                </c:pt>
                <c:pt idx="10">
                  <c:v>Belgie</c:v>
                </c:pt>
                <c:pt idx="11">
                  <c:v>Chile</c:v>
                </c:pt>
                <c:pt idx="12">
                  <c:v>USA</c:v>
                </c:pt>
                <c:pt idx="13">
                  <c:v>Lotyšsko</c:v>
                </c:pt>
                <c:pt idx="14">
                  <c:v>Maďarsko</c:v>
                </c:pt>
                <c:pt idx="15">
                  <c:v>Švýcarsko</c:v>
                </c:pt>
                <c:pt idx="16">
                  <c:v>Rakousko</c:v>
                </c:pt>
                <c:pt idx="17">
                  <c:v>Švédsko</c:v>
                </c:pt>
                <c:pt idx="18">
                  <c:v>Velká Británie</c:v>
                </c:pt>
                <c:pt idx="19">
                  <c:v>Irsko</c:v>
                </c:pt>
                <c:pt idx="20">
                  <c:v>Lucembursko</c:v>
                </c:pt>
                <c:pt idx="21">
                  <c:v>Kanada </c:v>
                </c:pt>
                <c:pt idx="22">
                  <c:v>Itálie</c:v>
                </c:pt>
                <c:pt idx="23">
                  <c:v>Izrael</c:v>
                </c:pt>
                <c:pt idx="24">
                  <c:v>Dánsko</c:v>
                </c:pt>
                <c:pt idx="25">
                  <c:v>Řecko</c:v>
                </c:pt>
                <c:pt idx="26">
                  <c:v>Mexiko</c:v>
                </c:pt>
                <c:pt idx="27">
                  <c:v>Portugalsko</c:v>
                </c:pt>
                <c:pt idx="28">
                  <c:v>Turecko</c:v>
                </c:pt>
                <c:pt idx="29">
                  <c:v>Španělsko</c:v>
                </c:pt>
                <c:pt idx="30">
                  <c:v>Francie</c:v>
                </c:pt>
                <c:pt idx="31">
                  <c:v>Kostarika</c:v>
                </c:pt>
                <c:pt idx="32">
                  <c:v>Japonsko</c:v>
                </c:pt>
                <c:pt idx="33">
                  <c:v>Německo</c:v>
                </c:pt>
                <c:pt idx="34">
                  <c:v>Slovensko</c:v>
                </c:pt>
                <c:pt idx="35">
                  <c:v>Korejská republika</c:v>
                </c:pt>
                <c:pt idx="36">
                  <c:v>Slovinsko</c:v>
                </c:pt>
                <c:pt idx="37">
                  <c:v>Česká republika</c:v>
                </c:pt>
              </c:strCache>
            </c:strRef>
          </c:cat>
          <c:val>
            <c:numRef>
              <c:f>'strana 5'!$C$6:$C$43</c:f>
              <c:numCache>
                <c:formatCode>#\ ##0.0</c:formatCode>
                <c:ptCount val="38"/>
                <c:pt idx="0">
                  <c:v>10.71144735003589</c:v>
                </c:pt>
                <c:pt idx="1">
                  <c:v>20.606387617065312</c:v>
                </c:pt>
                <c:pt idx="2">
                  <c:v>48.016195385793807</c:v>
                </c:pt>
                <c:pt idx="3">
                  <c:v>25.910773134350766</c:v>
                </c:pt>
                <c:pt idx="4">
                  <c:v>47.709759168041941</c:v>
                </c:pt>
                <c:pt idx="5">
                  <c:v>52.315235165976944</c:v>
                </c:pt>
                <c:pt idx="6">
                  <c:v>14.894569800632253</c:v>
                </c:pt>
                <c:pt idx="7">
                  <c:v>50.05452305673677</c:v>
                </c:pt>
                <c:pt idx="8">
                  <c:v>24.804347826086957</c:v>
                </c:pt>
                <c:pt idx="9">
                  <c:v>46.900812139557424</c:v>
                </c:pt>
                <c:pt idx="10">
                  <c:v>46.496054221542721</c:v>
                </c:pt>
                <c:pt idx="11">
                  <c:v>60.927364569819595</c:v>
                </c:pt>
                <c:pt idx="12">
                  <c:v>25.709435903861735</c:v>
                </c:pt>
                <c:pt idx="13">
                  <c:v>55.547513990268754</c:v>
                </c:pt>
                <c:pt idx="14">
                  <c:v>60.265103821592717</c:v>
                </c:pt>
                <c:pt idx="15">
                  <c:v>30.343215319279569</c:v>
                </c:pt>
                <c:pt idx="16">
                  <c:v>31.614267868364937</c:v>
                </c:pt>
                <c:pt idx="17">
                  <c:v>42.229960226210274</c:v>
                </c:pt>
                <c:pt idx="18">
                  <c:v>44.761122295073434</c:v>
                </c:pt>
                <c:pt idx="19">
                  <c:v>44.589743589743591</c:v>
                </c:pt>
                <c:pt idx="20">
                  <c:v>54.03685946110123</c:v>
                </c:pt>
                <c:pt idx="21">
                  <c:v>32.547614102829151</c:v>
                </c:pt>
                <c:pt idx="22">
                  <c:v>43.816575733956874</c:v>
                </c:pt>
                <c:pt idx="23">
                  <c:v>59.622071110194547</c:v>
                </c:pt>
                <c:pt idx="24">
                  <c:v>51.826109860969865</c:v>
                </c:pt>
                <c:pt idx="25">
                  <c:v>45.283018867924525</c:v>
                </c:pt>
                <c:pt idx="26">
                  <c:v>77.754532800696168</c:v>
                </c:pt>
                <c:pt idx="27">
                  <c:v>64.137822178520807</c:v>
                </c:pt>
                <c:pt idx="28">
                  <c:v>52.215221802817375</c:v>
                </c:pt>
                <c:pt idx="29">
                  <c:v>43.54199918859959</c:v>
                </c:pt>
                <c:pt idx="30">
                  <c:v>68.328983173210418</c:v>
                </c:pt>
                <c:pt idx="31">
                  <c:v>78.260628555754124</c:v>
                </c:pt>
                <c:pt idx="32">
                  <c:v>28.975164798282464</c:v>
                </c:pt>
                <c:pt idx="33">
                  <c:v>46.21861831562704</c:v>
                </c:pt>
                <c:pt idx="34">
                  <c:v>59.397934258627259</c:v>
                </c:pt>
                <c:pt idx="35">
                  <c:v>13.754474002474135</c:v>
                </c:pt>
                <c:pt idx="36">
                  <c:v>49.039356134763842</c:v>
                </c:pt>
                <c:pt idx="37">
                  <c:v>81.465727823389031</c:v>
                </c:pt>
              </c:numCache>
            </c:numRef>
          </c:val>
          <c:extLst>
            <c:ext xmlns:c16="http://schemas.microsoft.com/office/drawing/2014/chart" uri="{C3380CC4-5D6E-409C-BE32-E72D297353CC}">
              <c16:uniqueId val="{00000001-35F0-DE4C-BC41-84573A106EEA}"/>
            </c:ext>
          </c:extLst>
        </c:ser>
        <c:ser>
          <c:idx val="2"/>
          <c:order val="2"/>
          <c:tx>
            <c:strRef>
              <c:f>'strana 5'!$D$5</c:f>
              <c:strCache>
                <c:ptCount val="1"/>
                <c:pt idx="0">
                  <c:v>Hotovost a depozita</c:v>
                </c:pt>
              </c:strCache>
            </c:strRef>
          </c:tx>
          <c:spPr>
            <a:solidFill>
              <a:schemeClr val="accent3"/>
            </a:solidFill>
            <a:ln w="6350" cmpd="sng">
              <a:noFill/>
              <a:round/>
            </a:ln>
            <a:effectLst/>
          </c:spPr>
          <c:invertIfNegative val="0"/>
          <c:cat>
            <c:strRef>
              <c:f>'strana 5'!$A$6:$A$43</c:f>
              <c:strCache>
                <c:ptCount val="38"/>
                <c:pt idx="0">
                  <c:v>Polsko</c:v>
                </c:pt>
                <c:pt idx="1">
                  <c:v>Litva</c:v>
                </c:pt>
                <c:pt idx="2">
                  <c:v>Estonsko</c:v>
                </c:pt>
                <c:pt idx="3">
                  <c:v>Finsko</c:v>
                </c:pt>
                <c:pt idx="4">
                  <c:v>Island</c:v>
                </c:pt>
                <c:pt idx="5">
                  <c:v>Nizozemí</c:v>
                </c:pt>
                <c:pt idx="6">
                  <c:v>Austrálie</c:v>
                </c:pt>
                <c:pt idx="7">
                  <c:v>Kolumbie</c:v>
                </c:pt>
                <c:pt idx="8">
                  <c:v>Nový Zéland</c:v>
                </c:pt>
                <c:pt idx="9">
                  <c:v>Norsko</c:v>
                </c:pt>
                <c:pt idx="10">
                  <c:v>Belgie</c:v>
                </c:pt>
                <c:pt idx="11">
                  <c:v>Chile</c:v>
                </c:pt>
                <c:pt idx="12">
                  <c:v>USA</c:v>
                </c:pt>
                <c:pt idx="13">
                  <c:v>Lotyšsko</c:v>
                </c:pt>
                <c:pt idx="14">
                  <c:v>Maďarsko</c:v>
                </c:pt>
                <c:pt idx="15">
                  <c:v>Švýcarsko</c:v>
                </c:pt>
                <c:pt idx="16">
                  <c:v>Rakousko</c:v>
                </c:pt>
                <c:pt idx="17">
                  <c:v>Švédsko</c:v>
                </c:pt>
                <c:pt idx="18">
                  <c:v>Velká Británie</c:v>
                </c:pt>
                <c:pt idx="19">
                  <c:v>Irsko</c:v>
                </c:pt>
                <c:pt idx="20">
                  <c:v>Lucembursko</c:v>
                </c:pt>
                <c:pt idx="21">
                  <c:v>Kanada </c:v>
                </c:pt>
                <c:pt idx="22">
                  <c:v>Itálie</c:v>
                </c:pt>
                <c:pt idx="23">
                  <c:v>Izrael</c:v>
                </c:pt>
                <c:pt idx="24">
                  <c:v>Dánsko</c:v>
                </c:pt>
                <c:pt idx="25">
                  <c:v>Řecko</c:v>
                </c:pt>
                <c:pt idx="26">
                  <c:v>Mexiko</c:v>
                </c:pt>
                <c:pt idx="27">
                  <c:v>Portugalsko</c:v>
                </c:pt>
                <c:pt idx="28">
                  <c:v>Turecko</c:v>
                </c:pt>
                <c:pt idx="29">
                  <c:v>Španělsko</c:v>
                </c:pt>
                <c:pt idx="30">
                  <c:v>Francie</c:v>
                </c:pt>
                <c:pt idx="31">
                  <c:v>Kostarika</c:v>
                </c:pt>
                <c:pt idx="32">
                  <c:v>Japonsko</c:v>
                </c:pt>
                <c:pt idx="33">
                  <c:v>Německo</c:v>
                </c:pt>
                <c:pt idx="34">
                  <c:v>Slovensko</c:v>
                </c:pt>
                <c:pt idx="35">
                  <c:v>Korejská republika</c:v>
                </c:pt>
                <c:pt idx="36">
                  <c:v>Slovinsko</c:v>
                </c:pt>
                <c:pt idx="37">
                  <c:v>Česká republika</c:v>
                </c:pt>
              </c:strCache>
            </c:strRef>
          </c:cat>
          <c:val>
            <c:numRef>
              <c:f>'strana 5'!$D$6:$D$43</c:f>
              <c:numCache>
                <c:formatCode>#\ ##0.0</c:formatCode>
                <c:ptCount val="38"/>
                <c:pt idx="0">
                  <c:v>4.0839775229984285</c:v>
                </c:pt>
                <c:pt idx="1">
                  <c:v>2.2610746135721316</c:v>
                </c:pt>
                <c:pt idx="2">
                  <c:v>2.6668329008666376</c:v>
                </c:pt>
                <c:pt idx="3">
                  <c:v>4.1580650246601261</c:v>
                </c:pt>
                <c:pt idx="4">
                  <c:v>4.2149725087544203</c:v>
                </c:pt>
                <c:pt idx="5">
                  <c:v>2.6915243430878855</c:v>
                </c:pt>
                <c:pt idx="6">
                  <c:v>15.746732658074841</c:v>
                </c:pt>
                <c:pt idx="7">
                  <c:v>2.4858121306903986E-3</c:v>
                </c:pt>
                <c:pt idx="8">
                  <c:v>6.1576086956521738</c:v>
                </c:pt>
                <c:pt idx="9">
                  <c:v>0</c:v>
                </c:pt>
                <c:pt idx="10">
                  <c:v>2.9833182033139467</c:v>
                </c:pt>
                <c:pt idx="11">
                  <c:v>1.1284919562536639</c:v>
                </c:pt>
                <c:pt idx="12">
                  <c:v>0.33143219369125476</c:v>
                </c:pt>
                <c:pt idx="13">
                  <c:v>10.431782443572446</c:v>
                </c:pt>
                <c:pt idx="14">
                  <c:v>3.1553137402879616</c:v>
                </c:pt>
                <c:pt idx="15">
                  <c:v>4.7192126547372863</c:v>
                </c:pt>
                <c:pt idx="16">
                  <c:v>2.0251280479261426</c:v>
                </c:pt>
                <c:pt idx="17">
                  <c:v>1.9356240745139461</c:v>
                </c:pt>
                <c:pt idx="18">
                  <c:v>2.0330079699559365</c:v>
                </c:pt>
                <c:pt idx="19">
                  <c:v>2.9756410256410257</c:v>
                </c:pt>
                <c:pt idx="20">
                  <c:v>0.43389595175077017</c:v>
                </c:pt>
                <c:pt idx="21">
                  <c:v>3.886571070248749</c:v>
                </c:pt>
                <c:pt idx="22">
                  <c:v>5.6687575004020836</c:v>
                </c:pt>
                <c:pt idx="23">
                  <c:v>6.1476970761444827</c:v>
                </c:pt>
                <c:pt idx="24">
                  <c:v>0.30166680663432538</c:v>
                </c:pt>
                <c:pt idx="25">
                  <c:v>12.964090079123554</c:v>
                </c:pt>
                <c:pt idx="26">
                  <c:v>0.83782094686401698</c:v>
                </c:pt>
                <c:pt idx="27">
                  <c:v>5.2325705464870866</c:v>
                </c:pt>
                <c:pt idx="28">
                  <c:v>11.682375771815261</c:v>
                </c:pt>
                <c:pt idx="29">
                  <c:v>8.8651483026327433</c:v>
                </c:pt>
                <c:pt idx="30">
                  <c:v>1.7048925417893042</c:v>
                </c:pt>
                <c:pt idx="31">
                  <c:v>5.0633622871812456</c:v>
                </c:pt>
                <c:pt idx="32">
                  <c:v>7.9906883596173826</c:v>
                </c:pt>
                <c:pt idx="33">
                  <c:v>3.3436702474924327</c:v>
                </c:pt>
                <c:pt idx="34">
                  <c:v>4.6092286966865474</c:v>
                </c:pt>
                <c:pt idx="35">
                  <c:v>39.193806810105379</c:v>
                </c:pt>
                <c:pt idx="36">
                  <c:v>7.3921799004912598</c:v>
                </c:pt>
                <c:pt idx="37">
                  <c:v>14.208346518561221</c:v>
                </c:pt>
              </c:numCache>
            </c:numRef>
          </c:val>
          <c:extLst>
            <c:ext xmlns:c16="http://schemas.microsoft.com/office/drawing/2014/chart" uri="{C3380CC4-5D6E-409C-BE32-E72D297353CC}">
              <c16:uniqueId val="{00000002-35F0-DE4C-BC41-84573A106EEA}"/>
            </c:ext>
          </c:extLst>
        </c:ser>
        <c:ser>
          <c:idx val="3"/>
          <c:order val="3"/>
          <c:tx>
            <c:strRef>
              <c:f>'strana 5'!$E$5</c:f>
              <c:strCache>
                <c:ptCount val="1"/>
                <c:pt idx="0">
                  <c:v>CIS</c:v>
                </c:pt>
              </c:strCache>
            </c:strRef>
          </c:tx>
          <c:spPr>
            <a:solidFill>
              <a:schemeClr val="accent4"/>
            </a:solidFill>
            <a:ln w="6350" cmpd="sng">
              <a:noFill/>
              <a:round/>
            </a:ln>
            <a:effectLst/>
          </c:spPr>
          <c:invertIfNegative val="0"/>
          <c:cat>
            <c:strRef>
              <c:f>'strana 5'!$A$6:$A$43</c:f>
              <c:strCache>
                <c:ptCount val="38"/>
                <c:pt idx="0">
                  <c:v>Polsko</c:v>
                </c:pt>
                <c:pt idx="1">
                  <c:v>Litva</c:v>
                </c:pt>
                <c:pt idx="2">
                  <c:v>Estonsko</c:v>
                </c:pt>
                <c:pt idx="3">
                  <c:v>Finsko</c:v>
                </c:pt>
                <c:pt idx="4">
                  <c:v>Island</c:v>
                </c:pt>
                <c:pt idx="5">
                  <c:v>Nizozemí</c:v>
                </c:pt>
                <c:pt idx="6">
                  <c:v>Austrálie</c:v>
                </c:pt>
                <c:pt idx="7">
                  <c:v>Kolumbie</c:v>
                </c:pt>
                <c:pt idx="8">
                  <c:v>Nový Zéland</c:v>
                </c:pt>
                <c:pt idx="9">
                  <c:v>Norsko</c:v>
                </c:pt>
                <c:pt idx="10">
                  <c:v>Belgie</c:v>
                </c:pt>
                <c:pt idx="11">
                  <c:v>Chile</c:v>
                </c:pt>
                <c:pt idx="12">
                  <c:v>USA</c:v>
                </c:pt>
                <c:pt idx="13">
                  <c:v>Lotyšsko</c:v>
                </c:pt>
                <c:pt idx="14">
                  <c:v>Maďarsko</c:v>
                </c:pt>
                <c:pt idx="15">
                  <c:v>Švýcarsko</c:v>
                </c:pt>
                <c:pt idx="16">
                  <c:v>Rakousko</c:v>
                </c:pt>
                <c:pt idx="17">
                  <c:v>Švédsko</c:v>
                </c:pt>
                <c:pt idx="18">
                  <c:v>Velká Británie</c:v>
                </c:pt>
                <c:pt idx="19">
                  <c:v>Irsko</c:v>
                </c:pt>
                <c:pt idx="20">
                  <c:v>Lucembursko</c:v>
                </c:pt>
                <c:pt idx="21">
                  <c:v>Kanada </c:v>
                </c:pt>
                <c:pt idx="22">
                  <c:v>Itálie</c:v>
                </c:pt>
                <c:pt idx="23">
                  <c:v>Izrael</c:v>
                </c:pt>
                <c:pt idx="24">
                  <c:v>Dánsko</c:v>
                </c:pt>
                <c:pt idx="25">
                  <c:v>Řecko</c:v>
                </c:pt>
                <c:pt idx="26">
                  <c:v>Mexiko</c:v>
                </c:pt>
                <c:pt idx="27">
                  <c:v>Portugalsko</c:v>
                </c:pt>
                <c:pt idx="28">
                  <c:v>Turecko</c:v>
                </c:pt>
                <c:pt idx="29">
                  <c:v>Španělsko</c:v>
                </c:pt>
                <c:pt idx="30">
                  <c:v>Francie</c:v>
                </c:pt>
                <c:pt idx="31">
                  <c:v>Kostarika</c:v>
                </c:pt>
                <c:pt idx="32">
                  <c:v>Japonsko</c:v>
                </c:pt>
                <c:pt idx="33">
                  <c:v>Německo</c:v>
                </c:pt>
                <c:pt idx="34">
                  <c:v>Slovensko</c:v>
                </c:pt>
                <c:pt idx="35">
                  <c:v>Korejská republika</c:v>
                </c:pt>
                <c:pt idx="36">
                  <c:v>Slovinsko</c:v>
                </c:pt>
                <c:pt idx="37">
                  <c:v>Česká republika</c:v>
                </c:pt>
              </c:strCache>
            </c:strRef>
          </c:cat>
          <c:val>
            <c:numRef>
              <c:f>'strana 5'!$E$6:$E$43</c:f>
              <c:numCache>
                <c:formatCode>#\ ##0.0</c:formatCode>
                <c:ptCount val="38"/>
                <c:pt idx="0">
                  <c:v>4.7049658900614479E-4</c:v>
                </c:pt>
                <c:pt idx="1">
                  <c:v>0</c:v>
                </c:pt>
                <c:pt idx="2">
                  <c:v>0</c:v>
                </c:pt>
                <c:pt idx="3">
                  <c:v>0</c:v>
                </c:pt>
                <c:pt idx="4">
                  <c:v>0</c:v>
                </c:pt>
                <c:pt idx="5">
                  <c:v>0</c:v>
                </c:pt>
                <c:pt idx="6">
                  <c:v>0</c:v>
                </c:pt>
                <c:pt idx="7">
                  <c:v>0</c:v>
                </c:pt>
                <c:pt idx="8">
                  <c:v>27.860507246376812</c:v>
                </c:pt>
                <c:pt idx="9">
                  <c:v>0</c:v>
                </c:pt>
                <c:pt idx="10">
                  <c:v>0</c:v>
                </c:pt>
                <c:pt idx="11">
                  <c:v>0</c:v>
                </c:pt>
                <c:pt idx="12">
                  <c:v>25.784433801757434</c:v>
                </c:pt>
                <c:pt idx="13">
                  <c:v>0</c:v>
                </c:pt>
                <c:pt idx="14">
                  <c:v>0</c:v>
                </c:pt>
                <c:pt idx="15">
                  <c:v>0</c:v>
                </c:pt>
                <c:pt idx="16">
                  <c:v>0</c:v>
                </c:pt>
                <c:pt idx="17">
                  <c:v>21.488748212201003</c:v>
                </c:pt>
                <c:pt idx="18">
                  <c:v>0</c:v>
                </c:pt>
                <c:pt idx="19">
                  <c:v>0</c:v>
                </c:pt>
                <c:pt idx="20">
                  <c:v>0</c:v>
                </c:pt>
                <c:pt idx="21">
                  <c:v>0</c:v>
                </c:pt>
                <c:pt idx="22">
                  <c:v>0</c:v>
                </c:pt>
                <c:pt idx="23">
                  <c:v>0</c:v>
                </c:pt>
                <c:pt idx="24">
                  <c:v>1.8570667686712736</c:v>
                </c:pt>
                <c:pt idx="25">
                  <c:v>22.215459525258673</c:v>
                </c:pt>
                <c:pt idx="26">
                  <c:v>0</c:v>
                </c:pt>
                <c:pt idx="27">
                  <c:v>0</c:v>
                </c:pt>
                <c:pt idx="28">
                  <c:v>0</c:v>
                </c:pt>
                <c:pt idx="29">
                  <c:v>27.512565870963595</c:v>
                </c:pt>
                <c:pt idx="30">
                  <c:v>0</c:v>
                </c:pt>
                <c:pt idx="31">
                  <c:v>0</c:v>
                </c:pt>
                <c:pt idx="32">
                  <c:v>0</c:v>
                </c:pt>
                <c:pt idx="33">
                  <c:v>0</c:v>
                </c:pt>
                <c:pt idx="34">
                  <c:v>31.525745499895489</c:v>
                </c:pt>
                <c:pt idx="35">
                  <c:v>0</c:v>
                </c:pt>
                <c:pt idx="36">
                  <c:v>41.492173751286828</c:v>
                </c:pt>
                <c:pt idx="37">
                  <c:v>2.3198986276431932</c:v>
                </c:pt>
              </c:numCache>
            </c:numRef>
          </c:val>
          <c:extLst>
            <c:ext xmlns:c16="http://schemas.microsoft.com/office/drawing/2014/chart" uri="{C3380CC4-5D6E-409C-BE32-E72D297353CC}">
              <c16:uniqueId val="{00000003-35F0-DE4C-BC41-84573A106EEA}"/>
            </c:ext>
          </c:extLst>
        </c:ser>
        <c:ser>
          <c:idx val="4"/>
          <c:order val="4"/>
          <c:tx>
            <c:strRef>
              <c:f>'strana 5'!$F$5</c:f>
              <c:strCache>
                <c:ptCount val="1"/>
                <c:pt idx="0">
                  <c:v>Ostatní</c:v>
                </c:pt>
              </c:strCache>
            </c:strRef>
          </c:tx>
          <c:spPr>
            <a:solidFill>
              <a:schemeClr val="accent6"/>
            </a:solidFill>
            <a:ln w="6350" cmpd="sng">
              <a:noFill/>
              <a:round/>
            </a:ln>
            <a:effectLst/>
          </c:spPr>
          <c:invertIfNegative val="0"/>
          <c:cat>
            <c:strRef>
              <c:f>'strana 5'!$A$6:$A$43</c:f>
              <c:strCache>
                <c:ptCount val="38"/>
                <c:pt idx="0">
                  <c:v>Polsko</c:v>
                </c:pt>
                <c:pt idx="1">
                  <c:v>Litva</c:v>
                </c:pt>
                <c:pt idx="2">
                  <c:v>Estonsko</c:v>
                </c:pt>
                <c:pt idx="3">
                  <c:v>Finsko</c:v>
                </c:pt>
                <c:pt idx="4">
                  <c:v>Island</c:v>
                </c:pt>
                <c:pt idx="5">
                  <c:v>Nizozemí</c:v>
                </c:pt>
                <c:pt idx="6">
                  <c:v>Austrálie</c:v>
                </c:pt>
                <c:pt idx="7">
                  <c:v>Kolumbie</c:v>
                </c:pt>
                <c:pt idx="8">
                  <c:v>Nový Zéland</c:v>
                </c:pt>
                <c:pt idx="9">
                  <c:v>Norsko</c:v>
                </c:pt>
                <c:pt idx="10">
                  <c:v>Belgie</c:v>
                </c:pt>
                <c:pt idx="11">
                  <c:v>Chile</c:v>
                </c:pt>
                <c:pt idx="12">
                  <c:v>USA</c:v>
                </c:pt>
                <c:pt idx="13">
                  <c:v>Lotyšsko</c:v>
                </c:pt>
                <c:pt idx="14">
                  <c:v>Maďarsko</c:v>
                </c:pt>
                <c:pt idx="15">
                  <c:v>Švýcarsko</c:v>
                </c:pt>
                <c:pt idx="16">
                  <c:v>Rakousko</c:v>
                </c:pt>
                <c:pt idx="17">
                  <c:v>Švédsko</c:v>
                </c:pt>
                <c:pt idx="18">
                  <c:v>Velká Británie</c:v>
                </c:pt>
                <c:pt idx="19">
                  <c:v>Irsko</c:v>
                </c:pt>
                <c:pt idx="20">
                  <c:v>Lucembursko</c:v>
                </c:pt>
                <c:pt idx="21">
                  <c:v>Kanada </c:v>
                </c:pt>
                <c:pt idx="22">
                  <c:v>Itálie</c:v>
                </c:pt>
                <c:pt idx="23">
                  <c:v>Izrael</c:v>
                </c:pt>
                <c:pt idx="24">
                  <c:v>Dánsko</c:v>
                </c:pt>
                <c:pt idx="25">
                  <c:v>Řecko</c:v>
                </c:pt>
                <c:pt idx="26">
                  <c:v>Mexiko</c:v>
                </c:pt>
                <c:pt idx="27">
                  <c:v>Portugalsko</c:v>
                </c:pt>
                <c:pt idx="28">
                  <c:v>Turecko</c:v>
                </c:pt>
                <c:pt idx="29">
                  <c:v>Španělsko</c:v>
                </c:pt>
                <c:pt idx="30">
                  <c:v>Francie</c:v>
                </c:pt>
                <c:pt idx="31">
                  <c:v>Kostarika</c:v>
                </c:pt>
                <c:pt idx="32">
                  <c:v>Japonsko</c:v>
                </c:pt>
                <c:pt idx="33">
                  <c:v>Německo</c:v>
                </c:pt>
                <c:pt idx="34">
                  <c:v>Slovensko</c:v>
                </c:pt>
                <c:pt idx="35">
                  <c:v>Korejská republika</c:v>
                </c:pt>
                <c:pt idx="36">
                  <c:v>Slovinsko</c:v>
                </c:pt>
                <c:pt idx="37">
                  <c:v>Česká republika</c:v>
                </c:pt>
              </c:strCache>
            </c:strRef>
          </c:cat>
          <c:val>
            <c:numRef>
              <c:f>'strana 5'!$F$6:$F$43</c:f>
              <c:numCache>
                <c:formatCode>#\ ##0.0</c:formatCode>
                <c:ptCount val="38"/>
                <c:pt idx="0">
                  <c:v>0.14421086477959477</c:v>
                </c:pt>
                <c:pt idx="1">
                  <c:v>2.697518196409618</c:v>
                </c:pt>
                <c:pt idx="2">
                  <c:v>0.48378301759208853</c:v>
                </c:pt>
                <c:pt idx="3">
                  <c:v>22.564202655936825</c:v>
                </c:pt>
                <c:pt idx="4">
                  <c:v>1.5843045767623494</c:v>
                </c:pt>
                <c:pt idx="5">
                  <c:v>0</c:v>
                </c:pt>
                <c:pt idx="6">
                  <c:v>26.86105791889068</c:v>
                </c:pt>
                <c:pt idx="7">
                  <c:v>8.4723320980474597</c:v>
                </c:pt>
                <c:pt idx="8">
                  <c:v>1.8478260869565162</c:v>
                </c:pt>
                <c:pt idx="9">
                  <c:v>14.990206843339166</c:v>
                </c:pt>
                <c:pt idx="10">
                  <c:v>12.734228534778168</c:v>
                </c:pt>
                <c:pt idx="11">
                  <c:v>1.493602189455089</c:v>
                </c:pt>
                <c:pt idx="12">
                  <c:v>13.96098305013615</c:v>
                </c:pt>
                <c:pt idx="13">
                  <c:v>2.5485969456249364</c:v>
                </c:pt>
                <c:pt idx="14">
                  <c:v>5.638208278434206</c:v>
                </c:pt>
                <c:pt idx="15">
                  <c:v>34.720990017776018</c:v>
                </c:pt>
                <c:pt idx="16">
                  <c:v>37.08491065985865</c:v>
                </c:pt>
                <c:pt idx="17">
                  <c:v>8.0391572201810249</c:v>
                </c:pt>
                <c:pt idx="18">
                  <c:v>27.265292898642457</c:v>
                </c:pt>
                <c:pt idx="19">
                  <c:v>27.138461538461542</c:v>
                </c:pt>
                <c:pt idx="20">
                  <c:v>20.318805050548875</c:v>
                </c:pt>
                <c:pt idx="21">
                  <c:v>38.717731951252162</c:v>
                </c:pt>
                <c:pt idx="22">
                  <c:v>27.994902819532584</c:v>
                </c:pt>
                <c:pt idx="23">
                  <c:v>11.869627114711761</c:v>
                </c:pt>
                <c:pt idx="24">
                  <c:v>25.076067733444248</c:v>
                </c:pt>
                <c:pt idx="25">
                  <c:v>0.18259281801582006</c:v>
                </c:pt>
                <c:pt idx="26">
                  <c:v>2.8273652461056997</c:v>
                </c:pt>
                <c:pt idx="27">
                  <c:v>12.513484753402565</c:v>
                </c:pt>
                <c:pt idx="28">
                  <c:v>21.775262360306087</c:v>
                </c:pt>
                <c:pt idx="29">
                  <c:v>6.1810401733462612</c:v>
                </c:pt>
                <c:pt idx="30">
                  <c:v>17.970789137557617</c:v>
                </c:pt>
                <c:pt idx="31">
                  <c:v>7.3335513515184516</c:v>
                </c:pt>
                <c:pt idx="32">
                  <c:v>54.324698037399124</c:v>
                </c:pt>
                <c:pt idx="33">
                  <c:v>43.84162264822838</c:v>
                </c:pt>
                <c:pt idx="34">
                  <c:v>1.3620849463820406</c:v>
                </c:pt>
                <c:pt idx="35">
                  <c:v>44.896617879345207</c:v>
                </c:pt>
                <c:pt idx="36">
                  <c:v>3.4631219381040523E-2</c:v>
                </c:pt>
                <c:pt idx="37">
                  <c:v>0.54323132693494358</c:v>
                </c:pt>
              </c:numCache>
            </c:numRef>
          </c:val>
          <c:extLst>
            <c:ext xmlns:c16="http://schemas.microsoft.com/office/drawing/2014/chart" uri="{C3380CC4-5D6E-409C-BE32-E72D297353CC}">
              <c16:uniqueId val="{00000004-35F0-DE4C-BC41-84573A106EEA}"/>
            </c:ext>
          </c:extLst>
        </c:ser>
        <c:dLbls>
          <c:showLegendKey val="0"/>
          <c:showVal val="0"/>
          <c:showCatName val="0"/>
          <c:showSerName val="0"/>
          <c:showPercent val="0"/>
          <c:showBubbleSize val="0"/>
        </c:dLbls>
        <c:gapWidth val="150"/>
        <c:overlap val="100"/>
        <c:axId val="438335368"/>
        <c:axId val="438336152"/>
      </c:barChart>
      <c:catAx>
        <c:axId val="438335368"/>
        <c:scaling>
          <c:orientation val="maxMin"/>
        </c:scaling>
        <c:delete val="0"/>
        <c:axPos val="l"/>
        <c:numFmt formatCode="General" sourceLinked="1"/>
        <c:majorTickMark val="in"/>
        <c:minorTickMark val="none"/>
        <c:tickLblPos val="low"/>
        <c:spPr>
          <a:noFill/>
          <a:ln w="9525">
            <a:noFill/>
            <a:prstDash val="solid"/>
          </a:ln>
          <a:extLst>
            <a:ext uri="{909E8E84-426E-40DD-AFC4-6F175D3DCCD1}">
              <a14:hiddenFill xmlns:a14="http://schemas.microsoft.com/office/drawing/2010/main">
                <a:noFill/>
              </a14:hiddenFill>
            </a:ext>
          </a:extLst>
        </c:spPr>
        <c:txPr>
          <a:bodyPr rot="-60000000" vert="horz"/>
          <a:lstStyle/>
          <a:p>
            <a:pPr>
              <a:defRPr/>
            </a:pPr>
            <a:endParaRPr lang="cs-CZ"/>
          </a:p>
        </c:txPr>
        <c:crossAx val="438336152"/>
        <c:crosses val="autoZero"/>
        <c:auto val="1"/>
        <c:lblAlgn val="ctr"/>
        <c:lblOffset val="0"/>
        <c:tickLblSkip val="1"/>
        <c:noMultiLvlLbl val="0"/>
      </c:catAx>
      <c:valAx>
        <c:axId val="438336152"/>
        <c:scaling>
          <c:orientation val="minMax"/>
          <c:max val="100"/>
          <c:min val="0"/>
        </c:scaling>
        <c:delete val="0"/>
        <c:axPos val="b"/>
        <c:majorGridlines>
          <c:spPr>
            <a:ln w="12700" cmpd="sng">
              <a:solidFill>
                <a:schemeClr val="bg1">
                  <a:lumMod val="75000"/>
                </a:schemeClr>
              </a:solidFill>
              <a:prstDash val="sysDot"/>
            </a:ln>
          </c:spPr>
        </c:majorGridlines>
        <c:numFmt formatCode="General" sourceLinked="0"/>
        <c:majorTickMark val="in"/>
        <c:minorTickMark val="none"/>
        <c:tickLblPos val="nextTo"/>
        <c:spPr>
          <a:noFill/>
          <a:ln w="12700">
            <a:solidFill>
              <a:srgbClr val="000000"/>
            </a:solidFill>
            <a:prstDash val="solid"/>
          </a:ln>
          <a:extLst>
            <a:ext uri="{909E8E84-426E-40DD-AFC4-6F175D3DCCD1}">
              <a14:hiddenFill xmlns:a14="http://schemas.microsoft.com/office/drawing/2010/main">
                <a:noFill/>
              </a14:hiddenFill>
            </a:ext>
          </a:extLst>
        </c:spPr>
        <c:txPr>
          <a:bodyPr rot="-60000000" vert="horz"/>
          <a:lstStyle/>
          <a:p>
            <a:pPr>
              <a:defRPr/>
            </a:pPr>
            <a:endParaRPr lang="cs-CZ"/>
          </a:p>
        </c:txPr>
        <c:crossAx val="438335368"/>
        <c:crosses val="max"/>
        <c:crossBetween val="between"/>
        <c:majorUnit val="20"/>
      </c:valAx>
      <c:spPr>
        <a:noFill/>
        <a:ln w="9525">
          <a:noFill/>
        </a:ln>
      </c:spPr>
    </c:plotArea>
    <c:legend>
      <c:legendPos val="b"/>
      <c:layout>
        <c:manualLayout>
          <c:xMode val="edge"/>
          <c:yMode val="edge"/>
          <c:x val="4.9661671614571967E-2"/>
          <c:y val="0.94075182393737089"/>
          <c:w val="0.88951178310699885"/>
          <c:h val="3.7247451709102902E-2"/>
        </c:manualLayout>
      </c:layout>
      <c:overlay val="0"/>
      <c:txPr>
        <a:bodyPr/>
        <a:lstStyle/>
        <a:p>
          <a:pPr>
            <a:defRPr>
              <a:solidFill>
                <a:sysClr val="windowText" lastClr="000000"/>
              </a:solidFill>
            </a:defRPr>
          </a:pPr>
          <a:endParaRPr lang="cs-CZ"/>
        </a:p>
      </c:txPr>
    </c:legend>
    <c:plotVisOnly val="1"/>
    <c:dispBlanksAs val="gap"/>
    <c:showDLblsOverMax val="1"/>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 lastClr="FFFFFF"/>
          </a:solidFill>
          <a:prstDash val="solid"/>
          <a:round/>
        </a14:hiddenLine>
      </a:ext>
    </a:extLst>
  </c:spPr>
  <c:txPr>
    <a:bodyPr/>
    <a:lstStyle/>
    <a:p>
      <a:pPr>
        <a:defRPr sz="800">
          <a:latin typeface="Nexa Text" panose="00000500000000000000" pitchFamily="50" charset="-18"/>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en-US">
                <a:latin typeface="+mj-lt"/>
              </a:rPr>
              <a:t>Průměrný důchod</a:t>
            </a:r>
            <a:r>
              <a:rPr lang="cs-CZ">
                <a:latin typeface="+mj-lt"/>
              </a:rPr>
              <a:t> v evropských zemích</a:t>
            </a:r>
            <a:r>
              <a:rPr lang="en-US">
                <a:latin typeface="+mj-lt"/>
              </a:rPr>
              <a:t>, PPP</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endParaRPr lang="cs-CZ"/>
        </a:p>
      </c:txPr>
    </c:title>
    <c:autoTitleDeleted val="0"/>
    <c:plotArea>
      <c:layout/>
      <c:barChart>
        <c:barDir val="col"/>
        <c:grouping val="clustered"/>
        <c:varyColors val="0"/>
        <c:ser>
          <c:idx val="0"/>
          <c:order val="0"/>
          <c:tx>
            <c:strRef>
              <c:f>List1!$C$2</c:f>
              <c:strCache>
                <c:ptCount val="1"/>
                <c:pt idx="0">
                  <c:v>Průměrný důchod, PPP</c:v>
                </c:pt>
              </c:strCache>
            </c:strRef>
          </c:tx>
          <c:spPr>
            <a:solidFill>
              <a:schemeClr val="bg2"/>
            </a:solidFill>
            <a:ln>
              <a:noFill/>
            </a:ln>
            <a:effectLst/>
          </c:spPr>
          <c:invertIfNegative val="0"/>
          <c:dPt>
            <c:idx val="19"/>
            <c:invertIfNegative val="0"/>
            <c:bubble3D val="0"/>
            <c:spPr>
              <a:solidFill>
                <a:srgbClr val="EE7219"/>
              </a:solidFill>
              <a:ln>
                <a:noFill/>
              </a:ln>
              <a:effectLst/>
            </c:spPr>
            <c:extLst>
              <c:ext xmlns:c16="http://schemas.microsoft.com/office/drawing/2014/chart" uri="{C3380CC4-5D6E-409C-BE32-E72D297353CC}">
                <c16:uniqueId val="{00000001-E8A5-48C3-A9DC-8C7699349EE5}"/>
              </c:ext>
            </c:extLst>
          </c:dPt>
          <c:cat>
            <c:strRef>
              <c:f>List1!$B$3:$B$31</c:f>
              <c:strCache>
                <c:ptCount val="29"/>
                <c:pt idx="0">
                  <c:v>Švýcarsko</c:v>
                </c:pt>
                <c:pt idx="1">
                  <c:v>Rakousko</c:v>
                </c:pt>
                <c:pt idx="2">
                  <c:v>Francie</c:v>
                </c:pt>
                <c:pt idx="3">
                  <c:v>Dánsko</c:v>
                </c:pt>
                <c:pt idx="4">
                  <c:v>Německo</c:v>
                </c:pt>
                <c:pt idx="5">
                  <c:v>Nizozemsko</c:v>
                </c:pt>
                <c:pt idx="6">
                  <c:v>Irsko</c:v>
                </c:pt>
                <c:pt idx="7">
                  <c:v>Belgie</c:v>
                </c:pt>
                <c:pt idx="8">
                  <c:v>Eurozona</c:v>
                </c:pt>
                <c:pt idx="9">
                  <c:v>Itálie</c:v>
                </c:pt>
                <c:pt idx="10">
                  <c:v>Švédsko</c:v>
                </c:pt>
                <c:pt idx="11">
                  <c:v>Finsko</c:v>
                </c:pt>
                <c:pt idx="12">
                  <c:v>Kypr</c:v>
                </c:pt>
                <c:pt idx="13">
                  <c:v>European Union</c:v>
                </c:pt>
                <c:pt idx="14">
                  <c:v>Španělsko</c:v>
                </c:pt>
                <c:pt idx="15">
                  <c:v>Malta</c:v>
                </c:pt>
                <c:pt idx="16">
                  <c:v>Slovinsko</c:v>
                </c:pt>
                <c:pt idx="17">
                  <c:v>Portugalsko</c:v>
                </c:pt>
                <c:pt idx="18">
                  <c:v>Polsko</c:v>
                </c:pt>
                <c:pt idx="19">
                  <c:v>Česko</c:v>
                </c:pt>
                <c:pt idx="20">
                  <c:v>Estonsko</c:v>
                </c:pt>
                <c:pt idx="21">
                  <c:v>Řecko</c:v>
                </c:pt>
                <c:pt idx="22">
                  <c:v>Litva</c:v>
                </c:pt>
                <c:pt idx="23">
                  <c:v>Slovensko</c:v>
                </c:pt>
                <c:pt idx="24">
                  <c:v>Chorvatsko</c:v>
                </c:pt>
                <c:pt idx="25">
                  <c:v>Maďarsko</c:v>
                </c:pt>
                <c:pt idx="26">
                  <c:v>Lotyšsko</c:v>
                </c:pt>
                <c:pt idx="27">
                  <c:v>Bulharsko</c:v>
                </c:pt>
                <c:pt idx="28">
                  <c:v>Rumunsko</c:v>
                </c:pt>
              </c:strCache>
            </c:strRef>
          </c:cat>
          <c:val>
            <c:numRef>
              <c:f>List1!$C$3:$C$31</c:f>
              <c:numCache>
                <c:formatCode>#,##0</c:formatCode>
                <c:ptCount val="29"/>
                <c:pt idx="0">
                  <c:v>25805</c:v>
                </c:pt>
                <c:pt idx="1">
                  <c:v>25459</c:v>
                </c:pt>
                <c:pt idx="2">
                  <c:v>25047</c:v>
                </c:pt>
                <c:pt idx="3">
                  <c:v>22399</c:v>
                </c:pt>
                <c:pt idx="4">
                  <c:v>21879</c:v>
                </c:pt>
                <c:pt idx="5">
                  <c:v>20941</c:v>
                </c:pt>
                <c:pt idx="6">
                  <c:v>20916</c:v>
                </c:pt>
                <c:pt idx="7">
                  <c:v>20679</c:v>
                </c:pt>
                <c:pt idx="8">
                  <c:v>20548</c:v>
                </c:pt>
                <c:pt idx="9">
                  <c:v>20412</c:v>
                </c:pt>
                <c:pt idx="10">
                  <c:v>19947</c:v>
                </c:pt>
                <c:pt idx="11">
                  <c:v>19859</c:v>
                </c:pt>
                <c:pt idx="12">
                  <c:v>19383</c:v>
                </c:pt>
                <c:pt idx="13">
                  <c:v>18766</c:v>
                </c:pt>
                <c:pt idx="14">
                  <c:v>18560</c:v>
                </c:pt>
                <c:pt idx="15">
                  <c:v>15955</c:v>
                </c:pt>
                <c:pt idx="16">
                  <c:v>15889</c:v>
                </c:pt>
                <c:pt idx="17">
                  <c:v>13928</c:v>
                </c:pt>
                <c:pt idx="18">
                  <c:v>12299</c:v>
                </c:pt>
                <c:pt idx="19">
                  <c:v>11935</c:v>
                </c:pt>
                <c:pt idx="20">
                  <c:v>11315</c:v>
                </c:pt>
                <c:pt idx="21">
                  <c:v>11031</c:v>
                </c:pt>
                <c:pt idx="22">
                  <c:v>10523</c:v>
                </c:pt>
                <c:pt idx="23">
                  <c:v>9979</c:v>
                </c:pt>
                <c:pt idx="24">
                  <c:v>9569</c:v>
                </c:pt>
                <c:pt idx="25">
                  <c:v>9569</c:v>
                </c:pt>
                <c:pt idx="26">
                  <c:v>9174</c:v>
                </c:pt>
                <c:pt idx="27">
                  <c:v>7892</c:v>
                </c:pt>
                <c:pt idx="28">
                  <c:v>7209</c:v>
                </c:pt>
              </c:numCache>
            </c:numRef>
          </c:val>
          <c:extLst>
            <c:ext xmlns:c16="http://schemas.microsoft.com/office/drawing/2014/chart" uri="{C3380CC4-5D6E-409C-BE32-E72D297353CC}">
              <c16:uniqueId val="{00000002-E8A5-48C3-A9DC-8C7699349EE5}"/>
            </c:ext>
          </c:extLst>
        </c:ser>
        <c:dLbls>
          <c:showLegendKey val="0"/>
          <c:showVal val="0"/>
          <c:showCatName val="0"/>
          <c:showSerName val="0"/>
          <c:showPercent val="0"/>
          <c:showBubbleSize val="0"/>
        </c:dLbls>
        <c:gapWidth val="219"/>
        <c:overlap val="-27"/>
        <c:axId val="376032896"/>
        <c:axId val="376029760"/>
      </c:barChart>
      <c:catAx>
        <c:axId val="376032896"/>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cs-CZ"/>
          </a:p>
        </c:txPr>
        <c:crossAx val="376029760"/>
        <c:crosses val="autoZero"/>
        <c:auto val="1"/>
        <c:lblAlgn val="ctr"/>
        <c:lblOffset val="100"/>
        <c:noMultiLvlLbl val="0"/>
      </c:catAx>
      <c:valAx>
        <c:axId val="376029760"/>
        <c:scaling>
          <c:orientation val="minMax"/>
        </c:scaling>
        <c:delete val="0"/>
        <c:axPos val="l"/>
        <c:majorGridlines>
          <c:spPr>
            <a:ln w="12700"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76032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3">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j-lt"/>
                <a:ea typeface="+mn-ea"/>
                <a:cs typeface="+mn-cs"/>
              </a:defRPr>
            </a:pPr>
            <a:r>
              <a:rPr lang="cs-CZ">
                <a:latin typeface="+mj-lt"/>
              </a:rPr>
              <a:t>Index závislostí starších osob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j-lt"/>
              <a:ea typeface="+mn-ea"/>
              <a:cs typeface="+mn-cs"/>
            </a:defRPr>
          </a:pPr>
          <a:endParaRPr lang="cs-CZ"/>
        </a:p>
      </c:txPr>
    </c:title>
    <c:autoTitleDeleted val="0"/>
    <c:plotArea>
      <c:layout/>
      <c:lineChart>
        <c:grouping val="standard"/>
        <c:varyColors val="0"/>
        <c:ser>
          <c:idx val="0"/>
          <c:order val="0"/>
          <c:tx>
            <c:strRef>
              <c:f>List1!$A$2</c:f>
              <c:strCache>
                <c:ptCount val="1"/>
                <c:pt idx="0">
                  <c:v>Míra závislosti</c:v>
                </c:pt>
              </c:strCache>
            </c:strRef>
          </c:tx>
          <c:spPr>
            <a:ln w="28575" cap="rnd">
              <a:solidFill>
                <a:schemeClr val="accent1"/>
              </a:solidFill>
              <a:round/>
            </a:ln>
            <a:effectLst/>
          </c:spPr>
          <c:marker>
            <c:symbol val="none"/>
          </c:marker>
          <c:cat>
            <c:strRef>
              <c:f>List1!$B$1:$U$1</c:f>
              <c:strCache>
                <c:ptCount val="20"/>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2030</c:v>
                </c:pt>
                <c:pt idx="13">
                  <c:v>2040</c:v>
                </c:pt>
                <c:pt idx="14">
                  <c:v>2050</c:v>
                </c:pt>
                <c:pt idx="15">
                  <c:v>2060</c:v>
                </c:pt>
                <c:pt idx="16">
                  <c:v>2070</c:v>
                </c:pt>
                <c:pt idx="17">
                  <c:v>2080</c:v>
                </c:pt>
                <c:pt idx="18">
                  <c:v>2090</c:v>
                </c:pt>
                <c:pt idx="19">
                  <c:v>2100</c:v>
                </c:pt>
              </c:strCache>
            </c:strRef>
          </c:cat>
          <c:val>
            <c:numRef>
              <c:f>List1!$B$2:$U$2</c:f>
              <c:numCache>
                <c:formatCode>0.0</c:formatCode>
                <c:ptCount val="20"/>
                <c:pt idx="0">
                  <c:v>21.1</c:v>
                </c:pt>
                <c:pt idx="1">
                  <c:v>21.7</c:v>
                </c:pt>
                <c:pt idx="2">
                  <c:v>22.3</c:v>
                </c:pt>
                <c:pt idx="3">
                  <c:v>23.4</c:v>
                </c:pt>
                <c:pt idx="4">
                  <c:v>24.6</c:v>
                </c:pt>
                <c:pt idx="5">
                  <c:v>25.7</c:v>
                </c:pt>
                <c:pt idx="6">
                  <c:v>26.6</c:v>
                </c:pt>
                <c:pt idx="7">
                  <c:v>27.6</c:v>
                </c:pt>
                <c:pt idx="8">
                  <c:v>28.6</c:v>
                </c:pt>
                <c:pt idx="9">
                  <c:v>29.6</c:v>
                </c:pt>
                <c:pt idx="10">
                  <c:v>30.4</c:v>
                </c:pt>
                <c:pt idx="11">
                  <c:v>31.1</c:v>
                </c:pt>
              </c:numCache>
            </c:numRef>
          </c:val>
          <c:smooth val="0"/>
          <c:extLst>
            <c:ext xmlns:c16="http://schemas.microsoft.com/office/drawing/2014/chart" uri="{C3380CC4-5D6E-409C-BE32-E72D297353CC}">
              <c16:uniqueId val="{00000000-DD78-4BF7-8784-1483DC2CF125}"/>
            </c:ext>
          </c:extLst>
        </c:ser>
        <c:ser>
          <c:idx val="1"/>
          <c:order val="1"/>
          <c:tx>
            <c:strRef>
              <c:f>List1!$A$3</c:f>
              <c:strCache>
                <c:ptCount val="1"/>
                <c:pt idx="0">
                  <c:v>Projekce</c:v>
                </c:pt>
              </c:strCache>
            </c:strRef>
          </c:tx>
          <c:spPr>
            <a:ln w="28575" cap="rnd">
              <a:solidFill>
                <a:schemeClr val="accent2"/>
              </a:solidFill>
              <a:round/>
            </a:ln>
            <a:effectLst/>
          </c:spPr>
          <c:marker>
            <c:symbol val="none"/>
          </c:marker>
          <c:cat>
            <c:strRef>
              <c:f>List1!$B$1:$U$1</c:f>
              <c:strCache>
                <c:ptCount val="20"/>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2030</c:v>
                </c:pt>
                <c:pt idx="13">
                  <c:v>2040</c:v>
                </c:pt>
                <c:pt idx="14">
                  <c:v>2050</c:v>
                </c:pt>
                <c:pt idx="15">
                  <c:v>2060</c:v>
                </c:pt>
                <c:pt idx="16">
                  <c:v>2070</c:v>
                </c:pt>
                <c:pt idx="17">
                  <c:v>2080</c:v>
                </c:pt>
                <c:pt idx="18">
                  <c:v>2090</c:v>
                </c:pt>
                <c:pt idx="19">
                  <c:v>2100</c:v>
                </c:pt>
              </c:strCache>
            </c:strRef>
          </c:cat>
          <c:val>
            <c:numRef>
              <c:f>List1!$B$3:$U$3</c:f>
              <c:numCache>
                <c:formatCode>General</c:formatCode>
                <c:ptCount val="20"/>
                <c:pt idx="11" formatCode="0.0">
                  <c:v>31.1</c:v>
                </c:pt>
                <c:pt idx="12" formatCode="0.0">
                  <c:v>35.200000000000003</c:v>
                </c:pt>
                <c:pt idx="13" formatCode="0.0">
                  <c:v>40.700000000000003</c:v>
                </c:pt>
                <c:pt idx="14" formatCode="0.0">
                  <c:v>49.8</c:v>
                </c:pt>
                <c:pt idx="15" formatCode="0.0">
                  <c:v>53.7</c:v>
                </c:pt>
                <c:pt idx="16" formatCode="0.0">
                  <c:v>48.9</c:v>
                </c:pt>
                <c:pt idx="17" formatCode="0.0">
                  <c:v>49.2</c:v>
                </c:pt>
                <c:pt idx="18" formatCode="0.0">
                  <c:v>51.6</c:v>
                </c:pt>
                <c:pt idx="19" formatCode="0.0">
                  <c:v>52.7</c:v>
                </c:pt>
              </c:numCache>
            </c:numRef>
          </c:val>
          <c:smooth val="0"/>
          <c:extLst>
            <c:ext xmlns:c16="http://schemas.microsoft.com/office/drawing/2014/chart" uri="{C3380CC4-5D6E-409C-BE32-E72D297353CC}">
              <c16:uniqueId val="{00000001-DD78-4BF7-8784-1483DC2CF125}"/>
            </c:ext>
          </c:extLst>
        </c:ser>
        <c:dLbls>
          <c:showLegendKey val="0"/>
          <c:showVal val="0"/>
          <c:showCatName val="0"/>
          <c:showSerName val="0"/>
          <c:showPercent val="0"/>
          <c:showBubbleSize val="0"/>
        </c:dLbls>
        <c:smooth val="0"/>
        <c:axId val="376033288"/>
        <c:axId val="376030152"/>
      </c:lineChart>
      <c:catAx>
        <c:axId val="37603328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6030152"/>
        <c:crosses val="autoZero"/>
        <c:auto val="1"/>
        <c:lblAlgn val="ctr"/>
        <c:lblOffset val="100"/>
        <c:noMultiLvlLbl val="0"/>
      </c:catAx>
      <c:valAx>
        <c:axId val="376030152"/>
        <c:scaling>
          <c:orientation val="minMax"/>
          <c:min val="15"/>
        </c:scaling>
        <c:delete val="0"/>
        <c:axPos val="l"/>
        <c:majorGridlines>
          <c:spPr>
            <a:ln w="12700" cap="flat" cmpd="sng" algn="ctr">
              <a:solidFill>
                <a:schemeClr val="tx1">
                  <a:lumMod val="15000"/>
                  <a:lumOff val="85000"/>
                </a:schemeClr>
              </a:solidFill>
              <a:prstDash val="sys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7603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a:solidFill>
                  <a:schemeClr val="tx1"/>
                </a:solidFill>
                <a:latin typeface="+mj-lt"/>
              </a:rPr>
              <a:t>Vývoj indexu S&amp;P 500 za</a:t>
            </a:r>
            <a:r>
              <a:rPr lang="cs-CZ" baseline="0">
                <a:solidFill>
                  <a:schemeClr val="tx1"/>
                </a:solidFill>
                <a:latin typeface="+mj-lt"/>
              </a:rPr>
              <a:t> uplynulých 30 let</a:t>
            </a:r>
            <a:endParaRPr lang="en-US">
              <a:solidFill>
                <a:schemeClr val="tx1"/>
              </a:solidFill>
              <a:latin typeface="+mj-lt"/>
            </a:endParaRPr>
          </a:p>
        </c:rich>
      </c:tx>
      <c:layout>
        <c:manualLayout>
          <c:xMode val="edge"/>
          <c:yMode val="edge"/>
          <c:x val="0.22788072089377778"/>
          <c:y val="2.862985685071574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Index S&amp;P 500</c:v>
                </c:pt>
              </c:strCache>
            </c:strRef>
          </c:tx>
          <c:spPr>
            <a:ln w="28575" cap="rnd">
              <a:solidFill>
                <a:schemeClr val="bg2"/>
              </a:solidFill>
              <a:round/>
            </a:ln>
            <a:effectLst/>
          </c:spPr>
          <c:marker>
            <c:symbol val="none"/>
          </c:marker>
          <c:cat>
            <c:numRef>
              <c:f>List1!$A$2:$A$360</c:f>
              <c:numCache>
                <c:formatCode>m/d/yyyy</c:formatCode>
                <c:ptCount val="359"/>
                <c:pt idx="0">
                  <c:v>44498</c:v>
                </c:pt>
                <c:pt idx="1">
                  <c:v>44469</c:v>
                </c:pt>
                <c:pt idx="2">
                  <c:v>44439</c:v>
                </c:pt>
                <c:pt idx="3">
                  <c:v>44407</c:v>
                </c:pt>
                <c:pt idx="4">
                  <c:v>44377</c:v>
                </c:pt>
                <c:pt idx="5">
                  <c:v>44347</c:v>
                </c:pt>
                <c:pt idx="6">
                  <c:v>44316</c:v>
                </c:pt>
                <c:pt idx="7">
                  <c:v>44286</c:v>
                </c:pt>
                <c:pt idx="8">
                  <c:v>44253</c:v>
                </c:pt>
                <c:pt idx="9">
                  <c:v>44225</c:v>
                </c:pt>
                <c:pt idx="10">
                  <c:v>44196</c:v>
                </c:pt>
                <c:pt idx="11">
                  <c:v>44165</c:v>
                </c:pt>
                <c:pt idx="12">
                  <c:v>44134</c:v>
                </c:pt>
                <c:pt idx="13">
                  <c:v>44104</c:v>
                </c:pt>
                <c:pt idx="14">
                  <c:v>44074</c:v>
                </c:pt>
                <c:pt idx="15">
                  <c:v>44043</c:v>
                </c:pt>
                <c:pt idx="16">
                  <c:v>44012</c:v>
                </c:pt>
                <c:pt idx="17">
                  <c:v>43980</c:v>
                </c:pt>
                <c:pt idx="18">
                  <c:v>43951</c:v>
                </c:pt>
                <c:pt idx="19">
                  <c:v>43921</c:v>
                </c:pt>
                <c:pt idx="20">
                  <c:v>43889</c:v>
                </c:pt>
                <c:pt idx="21">
                  <c:v>43861</c:v>
                </c:pt>
                <c:pt idx="22">
                  <c:v>43830</c:v>
                </c:pt>
                <c:pt idx="23">
                  <c:v>43798</c:v>
                </c:pt>
                <c:pt idx="24">
                  <c:v>43769</c:v>
                </c:pt>
                <c:pt idx="25">
                  <c:v>43738</c:v>
                </c:pt>
                <c:pt idx="26">
                  <c:v>43707</c:v>
                </c:pt>
                <c:pt idx="27">
                  <c:v>43677</c:v>
                </c:pt>
                <c:pt idx="28">
                  <c:v>43644</c:v>
                </c:pt>
                <c:pt idx="29">
                  <c:v>43616</c:v>
                </c:pt>
                <c:pt idx="30">
                  <c:v>43585</c:v>
                </c:pt>
                <c:pt idx="31">
                  <c:v>43553</c:v>
                </c:pt>
                <c:pt idx="32">
                  <c:v>43524</c:v>
                </c:pt>
                <c:pt idx="33">
                  <c:v>43496</c:v>
                </c:pt>
                <c:pt idx="34">
                  <c:v>43465</c:v>
                </c:pt>
                <c:pt idx="35">
                  <c:v>43434</c:v>
                </c:pt>
                <c:pt idx="36">
                  <c:v>43404</c:v>
                </c:pt>
                <c:pt idx="37">
                  <c:v>43371</c:v>
                </c:pt>
                <c:pt idx="38">
                  <c:v>43343</c:v>
                </c:pt>
                <c:pt idx="39">
                  <c:v>43312</c:v>
                </c:pt>
                <c:pt idx="40">
                  <c:v>43280</c:v>
                </c:pt>
                <c:pt idx="41">
                  <c:v>43251</c:v>
                </c:pt>
                <c:pt idx="42">
                  <c:v>43220</c:v>
                </c:pt>
                <c:pt idx="43">
                  <c:v>43189</c:v>
                </c:pt>
                <c:pt idx="44">
                  <c:v>43159</c:v>
                </c:pt>
                <c:pt idx="45">
                  <c:v>43131</c:v>
                </c:pt>
                <c:pt idx="46">
                  <c:v>43098</c:v>
                </c:pt>
                <c:pt idx="47">
                  <c:v>43069</c:v>
                </c:pt>
                <c:pt idx="48">
                  <c:v>43039</c:v>
                </c:pt>
                <c:pt idx="49">
                  <c:v>43007</c:v>
                </c:pt>
                <c:pt idx="50">
                  <c:v>42978</c:v>
                </c:pt>
                <c:pt idx="51">
                  <c:v>42947</c:v>
                </c:pt>
                <c:pt idx="52">
                  <c:v>42916</c:v>
                </c:pt>
                <c:pt idx="53">
                  <c:v>42886</c:v>
                </c:pt>
                <c:pt idx="54">
                  <c:v>42853</c:v>
                </c:pt>
                <c:pt idx="55">
                  <c:v>42825</c:v>
                </c:pt>
                <c:pt idx="56">
                  <c:v>42794</c:v>
                </c:pt>
                <c:pt idx="57">
                  <c:v>42766</c:v>
                </c:pt>
                <c:pt idx="58">
                  <c:v>42734</c:v>
                </c:pt>
                <c:pt idx="59">
                  <c:v>42704</c:v>
                </c:pt>
                <c:pt idx="60">
                  <c:v>42674</c:v>
                </c:pt>
                <c:pt idx="61">
                  <c:v>42643</c:v>
                </c:pt>
                <c:pt idx="62">
                  <c:v>42613</c:v>
                </c:pt>
                <c:pt idx="63">
                  <c:v>42580</c:v>
                </c:pt>
                <c:pt idx="64">
                  <c:v>42551</c:v>
                </c:pt>
                <c:pt idx="65">
                  <c:v>42521</c:v>
                </c:pt>
                <c:pt idx="66">
                  <c:v>42489</c:v>
                </c:pt>
                <c:pt idx="67">
                  <c:v>42460</c:v>
                </c:pt>
                <c:pt idx="68">
                  <c:v>42429</c:v>
                </c:pt>
                <c:pt idx="69">
                  <c:v>42398</c:v>
                </c:pt>
                <c:pt idx="70">
                  <c:v>42369</c:v>
                </c:pt>
                <c:pt idx="71">
                  <c:v>42338</c:v>
                </c:pt>
                <c:pt idx="72">
                  <c:v>42307</c:v>
                </c:pt>
                <c:pt idx="73">
                  <c:v>42277</c:v>
                </c:pt>
                <c:pt idx="74">
                  <c:v>42247</c:v>
                </c:pt>
                <c:pt idx="75">
                  <c:v>42216</c:v>
                </c:pt>
                <c:pt idx="76">
                  <c:v>42185</c:v>
                </c:pt>
                <c:pt idx="77">
                  <c:v>42153</c:v>
                </c:pt>
                <c:pt idx="78">
                  <c:v>42124</c:v>
                </c:pt>
                <c:pt idx="79">
                  <c:v>42094</c:v>
                </c:pt>
                <c:pt idx="80">
                  <c:v>42062</c:v>
                </c:pt>
                <c:pt idx="81">
                  <c:v>42034</c:v>
                </c:pt>
                <c:pt idx="82">
                  <c:v>42004</c:v>
                </c:pt>
                <c:pt idx="83">
                  <c:v>41971</c:v>
                </c:pt>
                <c:pt idx="84">
                  <c:v>41943</c:v>
                </c:pt>
                <c:pt idx="85">
                  <c:v>41912</c:v>
                </c:pt>
                <c:pt idx="86">
                  <c:v>41880</c:v>
                </c:pt>
                <c:pt idx="87">
                  <c:v>41851</c:v>
                </c:pt>
                <c:pt idx="88">
                  <c:v>41820</c:v>
                </c:pt>
                <c:pt idx="89">
                  <c:v>41789</c:v>
                </c:pt>
                <c:pt idx="90">
                  <c:v>41759</c:v>
                </c:pt>
                <c:pt idx="91">
                  <c:v>41729</c:v>
                </c:pt>
                <c:pt idx="92">
                  <c:v>41698</c:v>
                </c:pt>
                <c:pt idx="93">
                  <c:v>41670</c:v>
                </c:pt>
                <c:pt idx="94">
                  <c:v>41639</c:v>
                </c:pt>
                <c:pt idx="95">
                  <c:v>41607</c:v>
                </c:pt>
                <c:pt idx="96">
                  <c:v>41578</c:v>
                </c:pt>
                <c:pt idx="97">
                  <c:v>41547</c:v>
                </c:pt>
                <c:pt idx="98">
                  <c:v>41516</c:v>
                </c:pt>
                <c:pt idx="99">
                  <c:v>41486</c:v>
                </c:pt>
                <c:pt idx="100">
                  <c:v>41453</c:v>
                </c:pt>
                <c:pt idx="101">
                  <c:v>41425</c:v>
                </c:pt>
                <c:pt idx="102">
                  <c:v>41394</c:v>
                </c:pt>
                <c:pt idx="103">
                  <c:v>41362</c:v>
                </c:pt>
                <c:pt idx="104">
                  <c:v>41333</c:v>
                </c:pt>
                <c:pt idx="105">
                  <c:v>41305</c:v>
                </c:pt>
                <c:pt idx="106">
                  <c:v>41274</c:v>
                </c:pt>
                <c:pt idx="107">
                  <c:v>41243</c:v>
                </c:pt>
                <c:pt idx="108">
                  <c:v>41213</c:v>
                </c:pt>
                <c:pt idx="109">
                  <c:v>41180</c:v>
                </c:pt>
                <c:pt idx="110">
                  <c:v>41152</c:v>
                </c:pt>
                <c:pt idx="111">
                  <c:v>41121</c:v>
                </c:pt>
                <c:pt idx="112">
                  <c:v>41089</c:v>
                </c:pt>
                <c:pt idx="113">
                  <c:v>41060</c:v>
                </c:pt>
                <c:pt idx="114">
                  <c:v>41029</c:v>
                </c:pt>
                <c:pt idx="115">
                  <c:v>40998</c:v>
                </c:pt>
                <c:pt idx="116">
                  <c:v>40968</c:v>
                </c:pt>
                <c:pt idx="117">
                  <c:v>40939</c:v>
                </c:pt>
                <c:pt idx="118">
                  <c:v>40907</c:v>
                </c:pt>
                <c:pt idx="119">
                  <c:v>40877</c:v>
                </c:pt>
                <c:pt idx="120">
                  <c:v>40847</c:v>
                </c:pt>
                <c:pt idx="121">
                  <c:v>40816</c:v>
                </c:pt>
                <c:pt idx="122">
                  <c:v>40786</c:v>
                </c:pt>
                <c:pt idx="123">
                  <c:v>40753</c:v>
                </c:pt>
                <c:pt idx="124">
                  <c:v>40724</c:v>
                </c:pt>
                <c:pt idx="125">
                  <c:v>40694</c:v>
                </c:pt>
                <c:pt idx="126">
                  <c:v>40662</c:v>
                </c:pt>
                <c:pt idx="127">
                  <c:v>40633</c:v>
                </c:pt>
                <c:pt idx="128">
                  <c:v>40602</c:v>
                </c:pt>
                <c:pt idx="129">
                  <c:v>40574</c:v>
                </c:pt>
                <c:pt idx="130">
                  <c:v>40543</c:v>
                </c:pt>
                <c:pt idx="131">
                  <c:v>40512</c:v>
                </c:pt>
                <c:pt idx="132">
                  <c:v>40480</c:v>
                </c:pt>
                <c:pt idx="133">
                  <c:v>40451</c:v>
                </c:pt>
                <c:pt idx="134">
                  <c:v>40421</c:v>
                </c:pt>
                <c:pt idx="135">
                  <c:v>40389</c:v>
                </c:pt>
                <c:pt idx="136">
                  <c:v>40359</c:v>
                </c:pt>
                <c:pt idx="137">
                  <c:v>40329</c:v>
                </c:pt>
                <c:pt idx="138">
                  <c:v>40298</c:v>
                </c:pt>
                <c:pt idx="139">
                  <c:v>40268</c:v>
                </c:pt>
                <c:pt idx="140">
                  <c:v>40235</c:v>
                </c:pt>
                <c:pt idx="141">
                  <c:v>40207</c:v>
                </c:pt>
                <c:pt idx="142">
                  <c:v>40178</c:v>
                </c:pt>
                <c:pt idx="143">
                  <c:v>40147</c:v>
                </c:pt>
                <c:pt idx="144">
                  <c:v>40116</c:v>
                </c:pt>
                <c:pt idx="145">
                  <c:v>40086</c:v>
                </c:pt>
                <c:pt idx="146">
                  <c:v>40056</c:v>
                </c:pt>
                <c:pt idx="147">
                  <c:v>40025</c:v>
                </c:pt>
                <c:pt idx="148">
                  <c:v>39994</c:v>
                </c:pt>
                <c:pt idx="149">
                  <c:v>39962</c:v>
                </c:pt>
                <c:pt idx="150">
                  <c:v>39933</c:v>
                </c:pt>
                <c:pt idx="151">
                  <c:v>39903</c:v>
                </c:pt>
                <c:pt idx="152">
                  <c:v>39871</c:v>
                </c:pt>
                <c:pt idx="153">
                  <c:v>39843</c:v>
                </c:pt>
                <c:pt idx="154">
                  <c:v>39813</c:v>
                </c:pt>
                <c:pt idx="155">
                  <c:v>39780</c:v>
                </c:pt>
                <c:pt idx="156">
                  <c:v>39752</c:v>
                </c:pt>
                <c:pt idx="157">
                  <c:v>39721</c:v>
                </c:pt>
                <c:pt idx="158">
                  <c:v>39689</c:v>
                </c:pt>
                <c:pt idx="159">
                  <c:v>39660</c:v>
                </c:pt>
                <c:pt idx="160">
                  <c:v>39629</c:v>
                </c:pt>
                <c:pt idx="161">
                  <c:v>39598</c:v>
                </c:pt>
                <c:pt idx="162">
                  <c:v>39568</c:v>
                </c:pt>
                <c:pt idx="163">
                  <c:v>39538</c:v>
                </c:pt>
                <c:pt idx="164">
                  <c:v>39507</c:v>
                </c:pt>
                <c:pt idx="165">
                  <c:v>39478</c:v>
                </c:pt>
                <c:pt idx="166">
                  <c:v>39447</c:v>
                </c:pt>
                <c:pt idx="167">
                  <c:v>39416</c:v>
                </c:pt>
                <c:pt idx="168">
                  <c:v>39386</c:v>
                </c:pt>
                <c:pt idx="169">
                  <c:v>39353</c:v>
                </c:pt>
                <c:pt idx="170">
                  <c:v>39325</c:v>
                </c:pt>
                <c:pt idx="171">
                  <c:v>39294</c:v>
                </c:pt>
                <c:pt idx="172">
                  <c:v>39262</c:v>
                </c:pt>
                <c:pt idx="173">
                  <c:v>39233</c:v>
                </c:pt>
                <c:pt idx="174">
                  <c:v>39202</c:v>
                </c:pt>
                <c:pt idx="175">
                  <c:v>39171</c:v>
                </c:pt>
                <c:pt idx="176">
                  <c:v>39141</c:v>
                </c:pt>
                <c:pt idx="177">
                  <c:v>39113</c:v>
                </c:pt>
                <c:pt idx="178">
                  <c:v>39080</c:v>
                </c:pt>
                <c:pt idx="179">
                  <c:v>39051</c:v>
                </c:pt>
                <c:pt idx="180">
                  <c:v>39021</c:v>
                </c:pt>
                <c:pt idx="181">
                  <c:v>38989</c:v>
                </c:pt>
                <c:pt idx="182">
                  <c:v>38960</c:v>
                </c:pt>
                <c:pt idx="183">
                  <c:v>38929</c:v>
                </c:pt>
                <c:pt idx="184">
                  <c:v>38898</c:v>
                </c:pt>
                <c:pt idx="185">
                  <c:v>38868</c:v>
                </c:pt>
                <c:pt idx="186">
                  <c:v>38835</c:v>
                </c:pt>
                <c:pt idx="187">
                  <c:v>38807</c:v>
                </c:pt>
                <c:pt idx="188">
                  <c:v>38776</c:v>
                </c:pt>
                <c:pt idx="189">
                  <c:v>38748</c:v>
                </c:pt>
                <c:pt idx="190">
                  <c:v>38716</c:v>
                </c:pt>
                <c:pt idx="191">
                  <c:v>38686</c:v>
                </c:pt>
                <c:pt idx="192">
                  <c:v>38656</c:v>
                </c:pt>
                <c:pt idx="193">
                  <c:v>38625</c:v>
                </c:pt>
                <c:pt idx="194">
                  <c:v>38595</c:v>
                </c:pt>
                <c:pt idx="195">
                  <c:v>38562</c:v>
                </c:pt>
                <c:pt idx="196">
                  <c:v>38533</c:v>
                </c:pt>
                <c:pt idx="197">
                  <c:v>38503</c:v>
                </c:pt>
                <c:pt idx="198">
                  <c:v>38471</c:v>
                </c:pt>
                <c:pt idx="199">
                  <c:v>38442</c:v>
                </c:pt>
                <c:pt idx="200">
                  <c:v>38411</c:v>
                </c:pt>
                <c:pt idx="201">
                  <c:v>38383</c:v>
                </c:pt>
                <c:pt idx="202">
                  <c:v>38352</c:v>
                </c:pt>
                <c:pt idx="203">
                  <c:v>38321</c:v>
                </c:pt>
                <c:pt idx="204">
                  <c:v>38289</c:v>
                </c:pt>
                <c:pt idx="205">
                  <c:v>38260</c:v>
                </c:pt>
                <c:pt idx="206">
                  <c:v>38230</c:v>
                </c:pt>
                <c:pt idx="207">
                  <c:v>38198</c:v>
                </c:pt>
                <c:pt idx="208">
                  <c:v>38168</c:v>
                </c:pt>
                <c:pt idx="209">
                  <c:v>38138</c:v>
                </c:pt>
                <c:pt idx="210">
                  <c:v>38107</c:v>
                </c:pt>
                <c:pt idx="211">
                  <c:v>38077</c:v>
                </c:pt>
                <c:pt idx="212">
                  <c:v>38044</c:v>
                </c:pt>
                <c:pt idx="213">
                  <c:v>38016</c:v>
                </c:pt>
                <c:pt idx="214">
                  <c:v>37986</c:v>
                </c:pt>
                <c:pt idx="215">
                  <c:v>37953</c:v>
                </c:pt>
                <c:pt idx="216">
                  <c:v>37925</c:v>
                </c:pt>
                <c:pt idx="217">
                  <c:v>37894</c:v>
                </c:pt>
                <c:pt idx="218">
                  <c:v>37862</c:v>
                </c:pt>
                <c:pt idx="219">
                  <c:v>37833</c:v>
                </c:pt>
                <c:pt idx="220">
                  <c:v>37802</c:v>
                </c:pt>
                <c:pt idx="221">
                  <c:v>37771</c:v>
                </c:pt>
                <c:pt idx="222">
                  <c:v>37741</c:v>
                </c:pt>
                <c:pt idx="223">
                  <c:v>37711</c:v>
                </c:pt>
                <c:pt idx="224">
                  <c:v>37680</c:v>
                </c:pt>
                <c:pt idx="225">
                  <c:v>37652</c:v>
                </c:pt>
                <c:pt idx="226">
                  <c:v>37621</c:v>
                </c:pt>
                <c:pt idx="227">
                  <c:v>37589</c:v>
                </c:pt>
                <c:pt idx="228">
                  <c:v>37560</c:v>
                </c:pt>
                <c:pt idx="229">
                  <c:v>37529</c:v>
                </c:pt>
                <c:pt idx="230">
                  <c:v>37498</c:v>
                </c:pt>
                <c:pt idx="231">
                  <c:v>37468</c:v>
                </c:pt>
                <c:pt idx="232">
                  <c:v>37435</c:v>
                </c:pt>
                <c:pt idx="233">
                  <c:v>37407</c:v>
                </c:pt>
                <c:pt idx="234">
                  <c:v>37376</c:v>
                </c:pt>
                <c:pt idx="235">
                  <c:v>37344</c:v>
                </c:pt>
                <c:pt idx="236">
                  <c:v>37315</c:v>
                </c:pt>
                <c:pt idx="237">
                  <c:v>37287</c:v>
                </c:pt>
                <c:pt idx="238">
                  <c:v>37256</c:v>
                </c:pt>
                <c:pt idx="239">
                  <c:v>37225</c:v>
                </c:pt>
                <c:pt idx="240">
                  <c:v>37195</c:v>
                </c:pt>
                <c:pt idx="241">
                  <c:v>37162</c:v>
                </c:pt>
                <c:pt idx="242">
                  <c:v>37134</c:v>
                </c:pt>
                <c:pt idx="243">
                  <c:v>37103</c:v>
                </c:pt>
                <c:pt idx="244">
                  <c:v>37071</c:v>
                </c:pt>
                <c:pt idx="245">
                  <c:v>37042</c:v>
                </c:pt>
                <c:pt idx="246">
                  <c:v>37011</c:v>
                </c:pt>
                <c:pt idx="247">
                  <c:v>36980</c:v>
                </c:pt>
                <c:pt idx="248">
                  <c:v>36950</c:v>
                </c:pt>
                <c:pt idx="249">
                  <c:v>36922</c:v>
                </c:pt>
                <c:pt idx="250">
                  <c:v>36889</c:v>
                </c:pt>
                <c:pt idx="251">
                  <c:v>36860</c:v>
                </c:pt>
                <c:pt idx="252">
                  <c:v>36830</c:v>
                </c:pt>
                <c:pt idx="253">
                  <c:v>36798</c:v>
                </c:pt>
                <c:pt idx="254">
                  <c:v>36769</c:v>
                </c:pt>
                <c:pt idx="255">
                  <c:v>36738</c:v>
                </c:pt>
                <c:pt idx="256">
                  <c:v>36707</c:v>
                </c:pt>
                <c:pt idx="257">
                  <c:v>36677</c:v>
                </c:pt>
                <c:pt idx="258">
                  <c:v>36644</c:v>
                </c:pt>
                <c:pt idx="259">
                  <c:v>36616</c:v>
                </c:pt>
                <c:pt idx="260">
                  <c:v>36585</c:v>
                </c:pt>
                <c:pt idx="261">
                  <c:v>36556</c:v>
                </c:pt>
                <c:pt idx="262">
                  <c:v>36525</c:v>
                </c:pt>
                <c:pt idx="263">
                  <c:v>36494</c:v>
                </c:pt>
                <c:pt idx="264">
                  <c:v>36462</c:v>
                </c:pt>
                <c:pt idx="265">
                  <c:v>36433</c:v>
                </c:pt>
                <c:pt idx="266">
                  <c:v>36403</c:v>
                </c:pt>
                <c:pt idx="267">
                  <c:v>36371</c:v>
                </c:pt>
                <c:pt idx="268">
                  <c:v>36341</c:v>
                </c:pt>
                <c:pt idx="269">
                  <c:v>36311</c:v>
                </c:pt>
                <c:pt idx="270">
                  <c:v>36280</c:v>
                </c:pt>
                <c:pt idx="271">
                  <c:v>36250</c:v>
                </c:pt>
                <c:pt idx="272">
                  <c:v>36217</c:v>
                </c:pt>
                <c:pt idx="273">
                  <c:v>36189</c:v>
                </c:pt>
                <c:pt idx="274">
                  <c:v>36160</c:v>
                </c:pt>
                <c:pt idx="275">
                  <c:v>36129</c:v>
                </c:pt>
                <c:pt idx="276">
                  <c:v>36098</c:v>
                </c:pt>
                <c:pt idx="277">
                  <c:v>36068</c:v>
                </c:pt>
                <c:pt idx="278">
                  <c:v>36038</c:v>
                </c:pt>
                <c:pt idx="279">
                  <c:v>36007</c:v>
                </c:pt>
                <c:pt idx="280">
                  <c:v>35976</c:v>
                </c:pt>
                <c:pt idx="281">
                  <c:v>35944</c:v>
                </c:pt>
                <c:pt idx="282">
                  <c:v>35915</c:v>
                </c:pt>
                <c:pt idx="283">
                  <c:v>35885</c:v>
                </c:pt>
                <c:pt idx="284">
                  <c:v>35853</c:v>
                </c:pt>
                <c:pt idx="285">
                  <c:v>35825</c:v>
                </c:pt>
                <c:pt idx="286">
                  <c:v>35795</c:v>
                </c:pt>
                <c:pt idx="287">
                  <c:v>35762</c:v>
                </c:pt>
                <c:pt idx="288">
                  <c:v>35734</c:v>
                </c:pt>
                <c:pt idx="289">
                  <c:v>35703</c:v>
                </c:pt>
                <c:pt idx="290">
                  <c:v>35671</c:v>
                </c:pt>
                <c:pt idx="291">
                  <c:v>35642</c:v>
                </c:pt>
                <c:pt idx="292">
                  <c:v>35611</c:v>
                </c:pt>
                <c:pt idx="293">
                  <c:v>35580</c:v>
                </c:pt>
                <c:pt idx="294">
                  <c:v>35550</c:v>
                </c:pt>
                <c:pt idx="295">
                  <c:v>35520</c:v>
                </c:pt>
                <c:pt idx="296">
                  <c:v>35489</c:v>
                </c:pt>
                <c:pt idx="297">
                  <c:v>35461</c:v>
                </c:pt>
                <c:pt idx="298">
                  <c:v>35430</c:v>
                </c:pt>
                <c:pt idx="299">
                  <c:v>35398</c:v>
                </c:pt>
                <c:pt idx="300">
                  <c:v>35369</c:v>
                </c:pt>
                <c:pt idx="301">
                  <c:v>35338</c:v>
                </c:pt>
                <c:pt idx="302">
                  <c:v>35307</c:v>
                </c:pt>
                <c:pt idx="303">
                  <c:v>35277</c:v>
                </c:pt>
                <c:pt idx="304">
                  <c:v>35244</c:v>
                </c:pt>
                <c:pt idx="305">
                  <c:v>35216</c:v>
                </c:pt>
                <c:pt idx="306">
                  <c:v>35185</c:v>
                </c:pt>
                <c:pt idx="307">
                  <c:v>35153</c:v>
                </c:pt>
                <c:pt idx="308">
                  <c:v>35124</c:v>
                </c:pt>
                <c:pt idx="309">
                  <c:v>35095</c:v>
                </c:pt>
                <c:pt idx="310">
                  <c:v>35062</c:v>
                </c:pt>
                <c:pt idx="311">
                  <c:v>35033</c:v>
                </c:pt>
                <c:pt idx="312">
                  <c:v>35003</c:v>
                </c:pt>
                <c:pt idx="313">
                  <c:v>34971</c:v>
                </c:pt>
                <c:pt idx="314">
                  <c:v>34942</c:v>
                </c:pt>
                <c:pt idx="315">
                  <c:v>34911</c:v>
                </c:pt>
                <c:pt idx="316">
                  <c:v>34880</c:v>
                </c:pt>
                <c:pt idx="317">
                  <c:v>34850</c:v>
                </c:pt>
                <c:pt idx="318">
                  <c:v>34817</c:v>
                </c:pt>
                <c:pt idx="319">
                  <c:v>34789</c:v>
                </c:pt>
                <c:pt idx="320">
                  <c:v>34758</c:v>
                </c:pt>
                <c:pt idx="321">
                  <c:v>34730</c:v>
                </c:pt>
                <c:pt idx="322">
                  <c:v>34698</c:v>
                </c:pt>
                <c:pt idx="323">
                  <c:v>34668</c:v>
                </c:pt>
                <c:pt idx="324">
                  <c:v>34638</c:v>
                </c:pt>
                <c:pt idx="325">
                  <c:v>34607</c:v>
                </c:pt>
                <c:pt idx="326">
                  <c:v>34577</c:v>
                </c:pt>
                <c:pt idx="327">
                  <c:v>34544</c:v>
                </c:pt>
                <c:pt idx="328">
                  <c:v>34515</c:v>
                </c:pt>
                <c:pt idx="329">
                  <c:v>34485</c:v>
                </c:pt>
                <c:pt idx="330">
                  <c:v>34453</c:v>
                </c:pt>
                <c:pt idx="331">
                  <c:v>34424</c:v>
                </c:pt>
                <c:pt idx="332">
                  <c:v>34393</c:v>
                </c:pt>
                <c:pt idx="333">
                  <c:v>34365</c:v>
                </c:pt>
                <c:pt idx="334">
                  <c:v>34334</c:v>
                </c:pt>
                <c:pt idx="335">
                  <c:v>34303</c:v>
                </c:pt>
                <c:pt idx="336">
                  <c:v>34271</c:v>
                </c:pt>
                <c:pt idx="337">
                  <c:v>34242</c:v>
                </c:pt>
                <c:pt idx="338">
                  <c:v>34212</c:v>
                </c:pt>
                <c:pt idx="339">
                  <c:v>34180</c:v>
                </c:pt>
                <c:pt idx="340">
                  <c:v>34150</c:v>
                </c:pt>
                <c:pt idx="341">
                  <c:v>34120</c:v>
                </c:pt>
                <c:pt idx="342">
                  <c:v>34089</c:v>
                </c:pt>
                <c:pt idx="343">
                  <c:v>34059</c:v>
                </c:pt>
                <c:pt idx="344">
                  <c:v>34026</c:v>
                </c:pt>
                <c:pt idx="345">
                  <c:v>33998</c:v>
                </c:pt>
                <c:pt idx="346">
                  <c:v>33969</c:v>
                </c:pt>
                <c:pt idx="347">
                  <c:v>33938</c:v>
                </c:pt>
                <c:pt idx="348">
                  <c:v>33907</c:v>
                </c:pt>
                <c:pt idx="349">
                  <c:v>33877</c:v>
                </c:pt>
                <c:pt idx="350">
                  <c:v>33847</c:v>
                </c:pt>
                <c:pt idx="351">
                  <c:v>33816</c:v>
                </c:pt>
                <c:pt idx="352">
                  <c:v>33785</c:v>
                </c:pt>
                <c:pt idx="353">
                  <c:v>33753</c:v>
                </c:pt>
                <c:pt idx="354">
                  <c:v>33724</c:v>
                </c:pt>
                <c:pt idx="355">
                  <c:v>33694</c:v>
                </c:pt>
                <c:pt idx="356">
                  <c:v>33662</c:v>
                </c:pt>
                <c:pt idx="357">
                  <c:v>33634</c:v>
                </c:pt>
                <c:pt idx="358">
                  <c:v>33603</c:v>
                </c:pt>
              </c:numCache>
            </c:numRef>
          </c:cat>
          <c:val>
            <c:numRef>
              <c:f>List1!$B$2:$B$360</c:f>
              <c:numCache>
                <c:formatCode>General</c:formatCode>
                <c:ptCount val="359"/>
                <c:pt idx="0">
                  <c:v>4605.38</c:v>
                </c:pt>
                <c:pt idx="1">
                  <c:v>4307.54</c:v>
                </c:pt>
                <c:pt idx="2">
                  <c:v>4522.68</c:v>
                </c:pt>
                <c:pt idx="3">
                  <c:v>4395.26</c:v>
                </c:pt>
                <c:pt idx="4">
                  <c:v>4297.5</c:v>
                </c:pt>
                <c:pt idx="5">
                  <c:v>4204.1099999999997</c:v>
                </c:pt>
                <c:pt idx="6">
                  <c:v>4181.17</c:v>
                </c:pt>
                <c:pt idx="7">
                  <c:v>3972.89</c:v>
                </c:pt>
                <c:pt idx="8">
                  <c:v>3811.15</c:v>
                </c:pt>
                <c:pt idx="9">
                  <c:v>3714.24</c:v>
                </c:pt>
                <c:pt idx="10">
                  <c:v>3756.07</c:v>
                </c:pt>
                <c:pt idx="11">
                  <c:v>3621.63</c:v>
                </c:pt>
                <c:pt idx="12">
                  <c:v>3269.96</c:v>
                </c:pt>
                <c:pt idx="13">
                  <c:v>3363</c:v>
                </c:pt>
                <c:pt idx="14">
                  <c:v>3500.31</c:v>
                </c:pt>
                <c:pt idx="15">
                  <c:v>3271.12</c:v>
                </c:pt>
                <c:pt idx="16">
                  <c:v>3100.29</c:v>
                </c:pt>
                <c:pt idx="17">
                  <c:v>3044.31</c:v>
                </c:pt>
                <c:pt idx="18">
                  <c:v>2912.43</c:v>
                </c:pt>
                <c:pt idx="19">
                  <c:v>2584.59</c:v>
                </c:pt>
                <c:pt idx="20">
                  <c:v>2954.22</c:v>
                </c:pt>
                <c:pt idx="21">
                  <c:v>3225.52</c:v>
                </c:pt>
                <c:pt idx="22">
                  <c:v>3230.78</c:v>
                </c:pt>
                <c:pt idx="23">
                  <c:v>3140.98</c:v>
                </c:pt>
                <c:pt idx="24">
                  <c:v>3037.56</c:v>
                </c:pt>
                <c:pt idx="25">
                  <c:v>2976.74</c:v>
                </c:pt>
                <c:pt idx="26">
                  <c:v>2926.46</c:v>
                </c:pt>
                <c:pt idx="27">
                  <c:v>2980.38</c:v>
                </c:pt>
                <c:pt idx="28">
                  <c:v>2941.76</c:v>
                </c:pt>
                <c:pt idx="29">
                  <c:v>2752.06</c:v>
                </c:pt>
                <c:pt idx="30">
                  <c:v>2945.83</c:v>
                </c:pt>
                <c:pt idx="31">
                  <c:v>2834.4</c:v>
                </c:pt>
                <c:pt idx="32">
                  <c:v>2784.49</c:v>
                </c:pt>
                <c:pt idx="33">
                  <c:v>2704.1</c:v>
                </c:pt>
                <c:pt idx="34">
                  <c:v>2506.85</c:v>
                </c:pt>
                <c:pt idx="35">
                  <c:v>2760.17</c:v>
                </c:pt>
                <c:pt idx="36">
                  <c:v>2711.74</c:v>
                </c:pt>
                <c:pt idx="37">
                  <c:v>2913.98</c:v>
                </c:pt>
                <c:pt idx="38">
                  <c:v>2901.52</c:v>
                </c:pt>
                <c:pt idx="39">
                  <c:v>2816.29</c:v>
                </c:pt>
                <c:pt idx="40">
                  <c:v>2718.37</c:v>
                </c:pt>
                <c:pt idx="41">
                  <c:v>2705.27</c:v>
                </c:pt>
                <c:pt idx="42">
                  <c:v>2648.05</c:v>
                </c:pt>
                <c:pt idx="43">
                  <c:v>2640.87</c:v>
                </c:pt>
                <c:pt idx="44">
                  <c:v>2713.83</c:v>
                </c:pt>
                <c:pt idx="45">
                  <c:v>2823.81</c:v>
                </c:pt>
                <c:pt idx="46">
                  <c:v>2673.61</c:v>
                </c:pt>
                <c:pt idx="47">
                  <c:v>2647.58</c:v>
                </c:pt>
                <c:pt idx="48">
                  <c:v>2575.2600000000002</c:v>
                </c:pt>
                <c:pt idx="49">
                  <c:v>2519.36</c:v>
                </c:pt>
                <c:pt idx="50">
                  <c:v>2471.65</c:v>
                </c:pt>
                <c:pt idx="51">
                  <c:v>2470.3000000000002</c:v>
                </c:pt>
                <c:pt idx="52">
                  <c:v>2423.41</c:v>
                </c:pt>
                <c:pt idx="53">
                  <c:v>2411.8000000000002</c:v>
                </c:pt>
                <c:pt idx="54">
                  <c:v>2384.1999999999998</c:v>
                </c:pt>
                <c:pt idx="55">
                  <c:v>2362.7199999999998</c:v>
                </c:pt>
                <c:pt idx="56">
                  <c:v>2363.64</c:v>
                </c:pt>
                <c:pt idx="57">
                  <c:v>2278.87</c:v>
                </c:pt>
                <c:pt idx="58">
                  <c:v>2238.83</c:v>
                </c:pt>
                <c:pt idx="59">
                  <c:v>2198.81</c:v>
                </c:pt>
                <c:pt idx="60">
                  <c:v>2126.15</c:v>
                </c:pt>
                <c:pt idx="61">
                  <c:v>2168.27</c:v>
                </c:pt>
                <c:pt idx="62">
                  <c:v>2170.9499999999998</c:v>
                </c:pt>
                <c:pt idx="63">
                  <c:v>2173.6</c:v>
                </c:pt>
                <c:pt idx="64">
                  <c:v>2098.86</c:v>
                </c:pt>
                <c:pt idx="65">
                  <c:v>2096.96</c:v>
                </c:pt>
                <c:pt idx="66">
                  <c:v>2065.3000000000002</c:v>
                </c:pt>
                <c:pt idx="67">
                  <c:v>2059.7399999999998</c:v>
                </c:pt>
                <c:pt idx="68">
                  <c:v>1932.23</c:v>
                </c:pt>
                <c:pt idx="69">
                  <c:v>1940.24</c:v>
                </c:pt>
                <c:pt idx="70">
                  <c:v>2043.94</c:v>
                </c:pt>
                <c:pt idx="71">
                  <c:v>2080.41</c:v>
                </c:pt>
                <c:pt idx="72">
                  <c:v>2079.36</c:v>
                </c:pt>
                <c:pt idx="73">
                  <c:v>1920.03</c:v>
                </c:pt>
                <c:pt idx="74">
                  <c:v>1972.18</c:v>
                </c:pt>
                <c:pt idx="75">
                  <c:v>2103.84</c:v>
                </c:pt>
                <c:pt idx="76">
                  <c:v>2063.11</c:v>
                </c:pt>
                <c:pt idx="77">
                  <c:v>2107.39</c:v>
                </c:pt>
                <c:pt idx="78">
                  <c:v>2085.5100000000002</c:v>
                </c:pt>
                <c:pt idx="79">
                  <c:v>2067.89</c:v>
                </c:pt>
                <c:pt idx="80">
                  <c:v>2104.5</c:v>
                </c:pt>
                <c:pt idx="81">
                  <c:v>1994.99</c:v>
                </c:pt>
                <c:pt idx="82">
                  <c:v>2058.9</c:v>
                </c:pt>
                <c:pt idx="83">
                  <c:v>2067.56</c:v>
                </c:pt>
                <c:pt idx="84">
                  <c:v>2018.05</c:v>
                </c:pt>
                <c:pt idx="85">
                  <c:v>1972.29</c:v>
                </c:pt>
                <c:pt idx="86">
                  <c:v>2003.37</c:v>
                </c:pt>
                <c:pt idx="87">
                  <c:v>1930.67</c:v>
                </c:pt>
                <c:pt idx="88">
                  <c:v>1960.23</c:v>
                </c:pt>
                <c:pt idx="89">
                  <c:v>1923.57</c:v>
                </c:pt>
                <c:pt idx="90">
                  <c:v>1883.95</c:v>
                </c:pt>
                <c:pt idx="91">
                  <c:v>1872.34</c:v>
                </c:pt>
                <c:pt idx="92">
                  <c:v>1859.45</c:v>
                </c:pt>
                <c:pt idx="93">
                  <c:v>1782.59</c:v>
                </c:pt>
                <c:pt idx="94">
                  <c:v>1848.36</c:v>
                </c:pt>
                <c:pt idx="95">
                  <c:v>1805.81</c:v>
                </c:pt>
                <c:pt idx="96">
                  <c:v>1756.54</c:v>
                </c:pt>
                <c:pt idx="97">
                  <c:v>1681.55</c:v>
                </c:pt>
                <c:pt idx="98">
                  <c:v>1632.97</c:v>
                </c:pt>
                <c:pt idx="99">
                  <c:v>1685.73</c:v>
                </c:pt>
                <c:pt idx="100">
                  <c:v>1606.28</c:v>
                </c:pt>
                <c:pt idx="101">
                  <c:v>1630.74</c:v>
                </c:pt>
                <c:pt idx="102">
                  <c:v>1597.57</c:v>
                </c:pt>
                <c:pt idx="103">
                  <c:v>1569.19</c:v>
                </c:pt>
                <c:pt idx="104">
                  <c:v>1514.68</c:v>
                </c:pt>
                <c:pt idx="105">
                  <c:v>1498.11</c:v>
                </c:pt>
                <c:pt idx="106">
                  <c:v>1426.19</c:v>
                </c:pt>
                <c:pt idx="107">
                  <c:v>1416.18</c:v>
                </c:pt>
                <c:pt idx="108">
                  <c:v>1412.16</c:v>
                </c:pt>
                <c:pt idx="109">
                  <c:v>1440.67</c:v>
                </c:pt>
                <c:pt idx="110">
                  <c:v>1406.58</c:v>
                </c:pt>
                <c:pt idx="111">
                  <c:v>1379.32</c:v>
                </c:pt>
                <c:pt idx="112">
                  <c:v>1362.16</c:v>
                </c:pt>
                <c:pt idx="113">
                  <c:v>1310.33</c:v>
                </c:pt>
                <c:pt idx="114">
                  <c:v>1397.91</c:v>
                </c:pt>
                <c:pt idx="115">
                  <c:v>1408.47</c:v>
                </c:pt>
                <c:pt idx="116">
                  <c:v>1365.68</c:v>
                </c:pt>
                <c:pt idx="117">
                  <c:v>1312.41</c:v>
                </c:pt>
                <c:pt idx="118">
                  <c:v>1257.6099999999999</c:v>
                </c:pt>
                <c:pt idx="119">
                  <c:v>1246.96</c:v>
                </c:pt>
                <c:pt idx="120">
                  <c:v>1253.3</c:v>
                </c:pt>
                <c:pt idx="121">
                  <c:v>1131.42</c:v>
                </c:pt>
                <c:pt idx="122">
                  <c:v>1218.8900000000001</c:v>
                </c:pt>
                <c:pt idx="123">
                  <c:v>1292.28</c:v>
                </c:pt>
                <c:pt idx="124">
                  <c:v>1320.64</c:v>
                </c:pt>
                <c:pt idx="125">
                  <c:v>1345.2</c:v>
                </c:pt>
                <c:pt idx="126">
                  <c:v>1363.61</c:v>
                </c:pt>
                <c:pt idx="127">
                  <c:v>1325.83</c:v>
                </c:pt>
                <c:pt idx="128">
                  <c:v>1327.22</c:v>
                </c:pt>
                <c:pt idx="129">
                  <c:v>1286.1199999999999</c:v>
                </c:pt>
                <c:pt idx="130">
                  <c:v>1257.6400000000001</c:v>
                </c:pt>
                <c:pt idx="131">
                  <c:v>1180.55</c:v>
                </c:pt>
                <c:pt idx="132">
                  <c:v>1183.26</c:v>
                </c:pt>
                <c:pt idx="133">
                  <c:v>1141.2</c:v>
                </c:pt>
                <c:pt idx="134">
                  <c:v>1049.33</c:v>
                </c:pt>
                <c:pt idx="135">
                  <c:v>1101.5999999999999</c:v>
                </c:pt>
                <c:pt idx="136">
                  <c:v>1030.71</c:v>
                </c:pt>
                <c:pt idx="137">
                  <c:v>1089.4100000000001</c:v>
                </c:pt>
                <c:pt idx="138">
                  <c:v>1186.69</c:v>
                </c:pt>
                <c:pt idx="139">
                  <c:v>1169.43</c:v>
                </c:pt>
                <c:pt idx="140">
                  <c:v>1104.49</c:v>
                </c:pt>
                <c:pt idx="141">
                  <c:v>1073.8699999999999</c:v>
                </c:pt>
                <c:pt idx="142">
                  <c:v>1115.0999999999999</c:v>
                </c:pt>
                <c:pt idx="143">
                  <c:v>1095.6300000000001</c:v>
                </c:pt>
                <c:pt idx="144">
                  <c:v>1036.2</c:v>
                </c:pt>
                <c:pt idx="145">
                  <c:v>1057.08</c:v>
                </c:pt>
                <c:pt idx="146">
                  <c:v>1020.63</c:v>
                </c:pt>
                <c:pt idx="147">
                  <c:v>987.48</c:v>
                </c:pt>
                <c:pt idx="148">
                  <c:v>919.32</c:v>
                </c:pt>
                <c:pt idx="149">
                  <c:v>919.14</c:v>
                </c:pt>
                <c:pt idx="150">
                  <c:v>872.81</c:v>
                </c:pt>
                <c:pt idx="151">
                  <c:v>797.87</c:v>
                </c:pt>
                <c:pt idx="152">
                  <c:v>735.09</c:v>
                </c:pt>
                <c:pt idx="153">
                  <c:v>825.88</c:v>
                </c:pt>
                <c:pt idx="154">
                  <c:v>903.25</c:v>
                </c:pt>
                <c:pt idx="155">
                  <c:v>896.24</c:v>
                </c:pt>
                <c:pt idx="156">
                  <c:v>968.75</c:v>
                </c:pt>
                <c:pt idx="157">
                  <c:v>1166.3599999999999</c:v>
                </c:pt>
                <c:pt idx="158">
                  <c:v>1282.83</c:v>
                </c:pt>
                <c:pt idx="159">
                  <c:v>1267.3800000000001</c:v>
                </c:pt>
                <c:pt idx="160">
                  <c:v>1280</c:v>
                </c:pt>
                <c:pt idx="161">
                  <c:v>1400.38</c:v>
                </c:pt>
                <c:pt idx="162">
                  <c:v>1385.59</c:v>
                </c:pt>
                <c:pt idx="163">
                  <c:v>1322.7</c:v>
                </c:pt>
                <c:pt idx="164">
                  <c:v>1330.63</c:v>
                </c:pt>
                <c:pt idx="165">
                  <c:v>1378.55</c:v>
                </c:pt>
                <c:pt idx="166">
                  <c:v>1468.36</c:v>
                </c:pt>
                <c:pt idx="167">
                  <c:v>1481.14</c:v>
                </c:pt>
                <c:pt idx="168">
                  <c:v>1549.38</c:v>
                </c:pt>
                <c:pt idx="169">
                  <c:v>1526.75</c:v>
                </c:pt>
                <c:pt idx="170">
                  <c:v>1473.99</c:v>
                </c:pt>
                <c:pt idx="171">
                  <c:v>1455.28</c:v>
                </c:pt>
                <c:pt idx="172">
                  <c:v>1503.35</c:v>
                </c:pt>
                <c:pt idx="173">
                  <c:v>1530.62</c:v>
                </c:pt>
                <c:pt idx="174">
                  <c:v>1482.37</c:v>
                </c:pt>
                <c:pt idx="175">
                  <c:v>1420.86</c:v>
                </c:pt>
                <c:pt idx="176">
                  <c:v>1406.82</c:v>
                </c:pt>
                <c:pt idx="177">
                  <c:v>1438.24</c:v>
                </c:pt>
                <c:pt idx="178">
                  <c:v>1418.3</c:v>
                </c:pt>
                <c:pt idx="179">
                  <c:v>1400.63</c:v>
                </c:pt>
                <c:pt idx="180">
                  <c:v>1377.94</c:v>
                </c:pt>
                <c:pt idx="181">
                  <c:v>1335.85</c:v>
                </c:pt>
                <c:pt idx="182">
                  <c:v>1303.82</c:v>
                </c:pt>
                <c:pt idx="183">
                  <c:v>1276.6600000000001</c:v>
                </c:pt>
                <c:pt idx="184">
                  <c:v>1270.2</c:v>
                </c:pt>
                <c:pt idx="185">
                  <c:v>1270.0899999999999</c:v>
                </c:pt>
                <c:pt idx="186">
                  <c:v>1310.6099999999999</c:v>
                </c:pt>
                <c:pt idx="187">
                  <c:v>1294.83</c:v>
                </c:pt>
                <c:pt idx="188">
                  <c:v>1280.6600000000001</c:v>
                </c:pt>
                <c:pt idx="189">
                  <c:v>1280.0899999999999</c:v>
                </c:pt>
                <c:pt idx="190">
                  <c:v>1248.29</c:v>
                </c:pt>
                <c:pt idx="191">
                  <c:v>1249.48</c:v>
                </c:pt>
                <c:pt idx="192">
                  <c:v>1207.01</c:v>
                </c:pt>
                <c:pt idx="193">
                  <c:v>1228.81</c:v>
                </c:pt>
                <c:pt idx="194">
                  <c:v>1220.33</c:v>
                </c:pt>
                <c:pt idx="195">
                  <c:v>1234.18</c:v>
                </c:pt>
                <c:pt idx="196">
                  <c:v>1191.33</c:v>
                </c:pt>
                <c:pt idx="197">
                  <c:v>1191.5</c:v>
                </c:pt>
                <c:pt idx="198">
                  <c:v>1156.8499999999999</c:v>
                </c:pt>
                <c:pt idx="199">
                  <c:v>1180.5899999999999</c:v>
                </c:pt>
                <c:pt idx="200">
                  <c:v>1203.5999999999999</c:v>
                </c:pt>
                <c:pt idx="201">
                  <c:v>1181.27</c:v>
                </c:pt>
                <c:pt idx="202">
                  <c:v>1211.92</c:v>
                </c:pt>
                <c:pt idx="203">
                  <c:v>1173.82</c:v>
                </c:pt>
                <c:pt idx="204">
                  <c:v>1130.2</c:v>
                </c:pt>
                <c:pt idx="205">
                  <c:v>1114.58</c:v>
                </c:pt>
                <c:pt idx="206">
                  <c:v>1104.24</c:v>
                </c:pt>
                <c:pt idx="207">
                  <c:v>1101.72</c:v>
                </c:pt>
                <c:pt idx="208">
                  <c:v>1140.8399999999999</c:v>
                </c:pt>
                <c:pt idx="209">
                  <c:v>1120.68</c:v>
                </c:pt>
                <c:pt idx="210">
                  <c:v>1107.31</c:v>
                </c:pt>
                <c:pt idx="211">
                  <c:v>1126.21</c:v>
                </c:pt>
                <c:pt idx="212">
                  <c:v>1144.94</c:v>
                </c:pt>
                <c:pt idx="213">
                  <c:v>1131.1300000000001</c:v>
                </c:pt>
                <c:pt idx="214">
                  <c:v>1111.92</c:v>
                </c:pt>
                <c:pt idx="215">
                  <c:v>1058.2</c:v>
                </c:pt>
                <c:pt idx="216">
                  <c:v>1050.71</c:v>
                </c:pt>
                <c:pt idx="217">
                  <c:v>995.97</c:v>
                </c:pt>
                <c:pt idx="218">
                  <c:v>1008.01</c:v>
                </c:pt>
                <c:pt idx="219">
                  <c:v>990.31</c:v>
                </c:pt>
                <c:pt idx="220">
                  <c:v>974.5</c:v>
                </c:pt>
                <c:pt idx="221">
                  <c:v>963.59</c:v>
                </c:pt>
                <c:pt idx="222">
                  <c:v>916.92</c:v>
                </c:pt>
                <c:pt idx="223">
                  <c:v>848.18</c:v>
                </c:pt>
                <c:pt idx="224">
                  <c:v>841.15</c:v>
                </c:pt>
                <c:pt idx="225">
                  <c:v>855.7</c:v>
                </c:pt>
                <c:pt idx="226">
                  <c:v>879.82</c:v>
                </c:pt>
                <c:pt idx="227">
                  <c:v>936.31</c:v>
                </c:pt>
                <c:pt idx="228">
                  <c:v>885.76</c:v>
                </c:pt>
                <c:pt idx="229">
                  <c:v>815.28</c:v>
                </c:pt>
                <c:pt idx="230">
                  <c:v>916.07</c:v>
                </c:pt>
                <c:pt idx="231">
                  <c:v>911.62</c:v>
                </c:pt>
                <c:pt idx="232">
                  <c:v>989.81</c:v>
                </c:pt>
                <c:pt idx="233">
                  <c:v>1067.1400000000001</c:v>
                </c:pt>
                <c:pt idx="234">
                  <c:v>1076.92</c:v>
                </c:pt>
                <c:pt idx="235">
                  <c:v>1147.3900000000001</c:v>
                </c:pt>
                <c:pt idx="236">
                  <c:v>1106.73</c:v>
                </c:pt>
                <c:pt idx="237">
                  <c:v>1130.21</c:v>
                </c:pt>
                <c:pt idx="238">
                  <c:v>1148.08</c:v>
                </c:pt>
                <c:pt idx="239">
                  <c:v>1139.45</c:v>
                </c:pt>
                <c:pt idx="240">
                  <c:v>1059.78</c:v>
                </c:pt>
                <c:pt idx="241">
                  <c:v>1040.94</c:v>
                </c:pt>
                <c:pt idx="242">
                  <c:v>1133.58</c:v>
                </c:pt>
                <c:pt idx="243">
                  <c:v>1211.23</c:v>
                </c:pt>
                <c:pt idx="244">
                  <c:v>1224.42</c:v>
                </c:pt>
                <c:pt idx="245">
                  <c:v>1255.82</c:v>
                </c:pt>
                <c:pt idx="246">
                  <c:v>1249.46</c:v>
                </c:pt>
                <c:pt idx="247">
                  <c:v>1160.33</c:v>
                </c:pt>
                <c:pt idx="248">
                  <c:v>1239.94</c:v>
                </c:pt>
                <c:pt idx="249">
                  <c:v>1366.01</c:v>
                </c:pt>
                <c:pt idx="250">
                  <c:v>1320.28</c:v>
                </c:pt>
                <c:pt idx="251">
                  <c:v>1314.95</c:v>
                </c:pt>
                <c:pt idx="252">
                  <c:v>1429.4</c:v>
                </c:pt>
                <c:pt idx="253">
                  <c:v>1436.51</c:v>
                </c:pt>
                <c:pt idx="254">
                  <c:v>1517.68</c:v>
                </c:pt>
                <c:pt idx="255">
                  <c:v>1430.83</c:v>
                </c:pt>
                <c:pt idx="256">
                  <c:v>1454.6</c:v>
                </c:pt>
                <c:pt idx="257">
                  <c:v>1420.6</c:v>
                </c:pt>
                <c:pt idx="258">
                  <c:v>1452.43</c:v>
                </c:pt>
                <c:pt idx="259">
                  <c:v>1498.58</c:v>
                </c:pt>
                <c:pt idx="260">
                  <c:v>1366.42</c:v>
                </c:pt>
                <c:pt idx="261">
                  <c:v>1394.46</c:v>
                </c:pt>
                <c:pt idx="262">
                  <c:v>1469.25</c:v>
                </c:pt>
                <c:pt idx="263">
                  <c:v>1388.91</c:v>
                </c:pt>
                <c:pt idx="264">
                  <c:v>1362.93</c:v>
                </c:pt>
                <c:pt idx="265">
                  <c:v>1282.71</c:v>
                </c:pt>
                <c:pt idx="266">
                  <c:v>1320.41</c:v>
                </c:pt>
                <c:pt idx="267">
                  <c:v>1328.72</c:v>
                </c:pt>
                <c:pt idx="268">
                  <c:v>1372.71</c:v>
                </c:pt>
                <c:pt idx="269">
                  <c:v>1301.8399999999999</c:v>
                </c:pt>
                <c:pt idx="270">
                  <c:v>1335.18</c:v>
                </c:pt>
                <c:pt idx="271">
                  <c:v>1286.3699999999999</c:v>
                </c:pt>
                <c:pt idx="272">
                  <c:v>1238.33</c:v>
                </c:pt>
                <c:pt idx="273">
                  <c:v>1279.6400000000001</c:v>
                </c:pt>
                <c:pt idx="274">
                  <c:v>1229.23</c:v>
                </c:pt>
                <c:pt idx="275">
                  <c:v>1163.6300000000001</c:v>
                </c:pt>
                <c:pt idx="276">
                  <c:v>1098.67</c:v>
                </c:pt>
                <c:pt idx="277">
                  <c:v>1017.01</c:v>
                </c:pt>
                <c:pt idx="278">
                  <c:v>957.28</c:v>
                </c:pt>
                <c:pt idx="279">
                  <c:v>1120.67</c:v>
                </c:pt>
                <c:pt idx="280">
                  <c:v>1133.8399999999999</c:v>
                </c:pt>
                <c:pt idx="281">
                  <c:v>1090.82</c:v>
                </c:pt>
                <c:pt idx="282">
                  <c:v>1111.75</c:v>
                </c:pt>
                <c:pt idx="283">
                  <c:v>1101.75</c:v>
                </c:pt>
                <c:pt idx="284">
                  <c:v>1049.3399999999999</c:v>
                </c:pt>
                <c:pt idx="285">
                  <c:v>980.28</c:v>
                </c:pt>
                <c:pt idx="286">
                  <c:v>970.43</c:v>
                </c:pt>
                <c:pt idx="287">
                  <c:v>955.4</c:v>
                </c:pt>
                <c:pt idx="288">
                  <c:v>914.62</c:v>
                </c:pt>
                <c:pt idx="289">
                  <c:v>947.28</c:v>
                </c:pt>
                <c:pt idx="290">
                  <c:v>899.47</c:v>
                </c:pt>
                <c:pt idx="291">
                  <c:v>954.29</c:v>
                </c:pt>
                <c:pt idx="292">
                  <c:v>885.14</c:v>
                </c:pt>
                <c:pt idx="293">
                  <c:v>848.28</c:v>
                </c:pt>
                <c:pt idx="294">
                  <c:v>801.34</c:v>
                </c:pt>
                <c:pt idx="295">
                  <c:v>757.12</c:v>
                </c:pt>
                <c:pt idx="296">
                  <c:v>790.82</c:v>
                </c:pt>
                <c:pt idx="297">
                  <c:v>786.16</c:v>
                </c:pt>
                <c:pt idx="298">
                  <c:v>740.74</c:v>
                </c:pt>
                <c:pt idx="299">
                  <c:v>757.02</c:v>
                </c:pt>
                <c:pt idx="300">
                  <c:v>705.27</c:v>
                </c:pt>
                <c:pt idx="301">
                  <c:v>687.31</c:v>
                </c:pt>
                <c:pt idx="302">
                  <c:v>651.99</c:v>
                </c:pt>
                <c:pt idx="303">
                  <c:v>639.95000000000005</c:v>
                </c:pt>
                <c:pt idx="304">
                  <c:v>670.63</c:v>
                </c:pt>
                <c:pt idx="305">
                  <c:v>669.12</c:v>
                </c:pt>
                <c:pt idx="306">
                  <c:v>654.16999999999996</c:v>
                </c:pt>
                <c:pt idx="307">
                  <c:v>645.5</c:v>
                </c:pt>
                <c:pt idx="308">
                  <c:v>640.42999999999995</c:v>
                </c:pt>
                <c:pt idx="309">
                  <c:v>636.02</c:v>
                </c:pt>
                <c:pt idx="310">
                  <c:v>615.92999999999995</c:v>
                </c:pt>
                <c:pt idx="311">
                  <c:v>605.37</c:v>
                </c:pt>
                <c:pt idx="312">
                  <c:v>581.5</c:v>
                </c:pt>
                <c:pt idx="313">
                  <c:v>584.41</c:v>
                </c:pt>
                <c:pt idx="314">
                  <c:v>561.88</c:v>
                </c:pt>
                <c:pt idx="315">
                  <c:v>562.05999999999995</c:v>
                </c:pt>
                <c:pt idx="316">
                  <c:v>544.75</c:v>
                </c:pt>
                <c:pt idx="317">
                  <c:v>533.4</c:v>
                </c:pt>
                <c:pt idx="318">
                  <c:v>514.71</c:v>
                </c:pt>
                <c:pt idx="319">
                  <c:v>500.71</c:v>
                </c:pt>
                <c:pt idx="320">
                  <c:v>487.39</c:v>
                </c:pt>
                <c:pt idx="321">
                  <c:v>470.42</c:v>
                </c:pt>
                <c:pt idx="322">
                  <c:v>459.27</c:v>
                </c:pt>
                <c:pt idx="323">
                  <c:v>453.69</c:v>
                </c:pt>
                <c:pt idx="324">
                  <c:v>472.35</c:v>
                </c:pt>
                <c:pt idx="325">
                  <c:v>462.69</c:v>
                </c:pt>
                <c:pt idx="326">
                  <c:v>475.49</c:v>
                </c:pt>
                <c:pt idx="327">
                  <c:v>458.26</c:v>
                </c:pt>
                <c:pt idx="328">
                  <c:v>444.27</c:v>
                </c:pt>
                <c:pt idx="329">
                  <c:v>456.5</c:v>
                </c:pt>
                <c:pt idx="330">
                  <c:v>450.91</c:v>
                </c:pt>
                <c:pt idx="331">
                  <c:v>445.77</c:v>
                </c:pt>
                <c:pt idx="332">
                  <c:v>467.14</c:v>
                </c:pt>
                <c:pt idx="333">
                  <c:v>481.61</c:v>
                </c:pt>
                <c:pt idx="334">
                  <c:v>466.45</c:v>
                </c:pt>
                <c:pt idx="335">
                  <c:v>461.79</c:v>
                </c:pt>
                <c:pt idx="336">
                  <c:v>467.83</c:v>
                </c:pt>
                <c:pt idx="337">
                  <c:v>458.93</c:v>
                </c:pt>
                <c:pt idx="338">
                  <c:v>463.56</c:v>
                </c:pt>
                <c:pt idx="339">
                  <c:v>448.13</c:v>
                </c:pt>
                <c:pt idx="340">
                  <c:v>450.53</c:v>
                </c:pt>
                <c:pt idx="341">
                  <c:v>450.19</c:v>
                </c:pt>
                <c:pt idx="342">
                  <c:v>440.19</c:v>
                </c:pt>
                <c:pt idx="343">
                  <c:v>451.67</c:v>
                </c:pt>
                <c:pt idx="344">
                  <c:v>443.38</c:v>
                </c:pt>
                <c:pt idx="345">
                  <c:v>438.78</c:v>
                </c:pt>
                <c:pt idx="346">
                  <c:v>435.71</c:v>
                </c:pt>
                <c:pt idx="347">
                  <c:v>431.35</c:v>
                </c:pt>
                <c:pt idx="348">
                  <c:v>418.68</c:v>
                </c:pt>
                <c:pt idx="349">
                  <c:v>417.8</c:v>
                </c:pt>
                <c:pt idx="350">
                  <c:v>414.03</c:v>
                </c:pt>
                <c:pt idx="351">
                  <c:v>424.21</c:v>
                </c:pt>
                <c:pt idx="352">
                  <c:v>408.14</c:v>
                </c:pt>
                <c:pt idx="353">
                  <c:v>415.35</c:v>
                </c:pt>
                <c:pt idx="354">
                  <c:v>414.95</c:v>
                </c:pt>
                <c:pt idx="355">
                  <c:v>403.69</c:v>
                </c:pt>
                <c:pt idx="356">
                  <c:v>412.7</c:v>
                </c:pt>
                <c:pt idx="357">
                  <c:v>408.79</c:v>
                </c:pt>
                <c:pt idx="358">
                  <c:v>417.09</c:v>
                </c:pt>
              </c:numCache>
            </c:numRef>
          </c:val>
          <c:smooth val="0"/>
          <c:extLst>
            <c:ext xmlns:c16="http://schemas.microsoft.com/office/drawing/2014/chart" uri="{C3380CC4-5D6E-409C-BE32-E72D297353CC}">
              <c16:uniqueId val="{00000000-7012-4A74-AB3B-1EFC439C7C8A}"/>
            </c:ext>
          </c:extLst>
        </c:ser>
        <c:dLbls>
          <c:showLegendKey val="0"/>
          <c:showVal val="0"/>
          <c:showCatName val="0"/>
          <c:showSerName val="0"/>
          <c:showPercent val="0"/>
          <c:showBubbleSize val="0"/>
        </c:dLbls>
        <c:smooth val="0"/>
        <c:axId val="628941592"/>
        <c:axId val="628948480"/>
      </c:lineChart>
      <c:dateAx>
        <c:axId val="628941592"/>
        <c:scaling>
          <c:orientation val="minMax"/>
          <c:max val="44531"/>
        </c:scaling>
        <c:delete val="0"/>
        <c:axPos val="b"/>
        <c:numFmt formatCode="yyyy" sourceLinked="0"/>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628948480"/>
        <c:crosses val="autoZero"/>
        <c:auto val="1"/>
        <c:lblOffset val="100"/>
        <c:baseTimeUnit val="months"/>
        <c:majorUnit val="12"/>
        <c:majorTimeUnit val="months"/>
      </c:dateAx>
      <c:valAx>
        <c:axId val="628948480"/>
        <c:scaling>
          <c:orientation val="minMax"/>
        </c:scaling>
        <c:delete val="0"/>
        <c:axPos val="l"/>
        <c:majorGridlines>
          <c:spPr>
            <a:ln w="12700"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62894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0BA8-2C61-47ED-9D57-E6D0D16F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TZ_CYRRUS</Template>
  <TotalTime>5</TotalTime>
  <Pages>8</Pages>
  <Words>2531</Words>
  <Characters>14937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tipel</dc:creator>
  <cp:keywords/>
  <dc:description/>
  <cp:lastModifiedBy>Dokumenty Crestcom</cp:lastModifiedBy>
  <cp:revision>3</cp:revision>
  <cp:lastPrinted>2020-10-26T13:09:00Z</cp:lastPrinted>
  <dcterms:created xsi:type="dcterms:W3CDTF">2021-11-30T11:19:00Z</dcterms:created>
  <dcterms:modified xsi:type="dcterms:W3CDTF">2021-12-02T22:53:00Z</dcterms:modified>
</cp:coreProperties>
</file>