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02DA" w14:textId="071EB41D" w:rsidR="0081551A" w:rsidRPr="007871E2" w:rsidRDefault="0081551A" w:rsidP="00AA6128">
      <w:pPr>
        <w:pStyle w:val="Headline"/>
        <w:rPr>
          <w:lang w:val="en-GB"/>
        </w:rPr>
      </w:pPr>
      <w:r w:rsidRPr="007871E2">
        <w:rPr>
          <w:lang w:val="en-GB"/>
        </w:rPr>
        <w:t xml:space="preserve">The Czech Republic </w:t>
      </w:r>
      <w:r w:rsidR="00BC1ACF" w:rsidRPr="007871E2">
        <w:rPr>
          <w:lang w:val="en-GB"/>
        </w:rPr>
        <w:t>C</w:t>
      </w:r>
      <w:r w:rsidRPr="007871E2">
        <w:rPr>
          <w:lang w:val="en-GB"/>
        </w:rPr>
        <w:t xml:space="preserve">ommercial </w:t>
      </w:r>
      <w:r w:rsidR="00BC1ACF" w:rsidRPr="007871E2">
        <w:rPr>
          <w:lang w:val="en-GB"/>
        </w:rPr>
        <w:t>Re</w:t>
      </w:r>
      <w:r w:rsidRPr="007871E2">
        <w:rPr>
          <w:lang w:val="en-GB"/>
        </w:rPr>
        <w:t xml:space="preserve">al </w:t>
      </w:r>
      <w:r w:rsidR="00BC1ACF" w:rsidRPr="007871E2">
        <w:rPr>
          <w:lang w:val="en-GB"/>
        </w:rPr>
        <w:t>E</w:t>
      </w:r>
      <w:r w:rsidRPr="007871E2">
        <w:rPr>
          <w:lang w:val="en-GB"/>
        </w:rPr>
        <w:t xml:space="preserve">state </w:t>
      </w:r>
      <w:r w:rsidR="00BC1ACF" w:rsidRPr="007871E2">
        <w:rPr>
          <w:lang w:val="en-GB"/>
        </w:rPr>
        <w:t>Market</w:t>
      </w:r>
      <w:r w:rsidR="00AA6128" w:rsidRPr="007871E2">
        <w:rPr>
          <w:lang w:val="en-GB"/>
        </w:rPr>
        <w:t xml:space="preserve"> Outlook</w:t>
      </w:r>
      <w:r w:rsidR="00B45A14" w:rsidRPr="007871E2">
        <w:rPr>
          <w:lang w:val="en-GB"/>
        </w:rPr>
        <w:t xml:space="preserve"> for 2023</w:t>
      </w:r>
    </w:p>
    <w:p w14:paraId="2E9EA42C" w14:textId="77777777" w:rsidR="00B72576" w:rsidRPr="007871E2" w:rsidRDefault="00B72576" w:rsidP="00AA6128">
      <w:pPr>
        <w:pStyle w:val="Headline"/>
        <w:rPr>
          <w:lang w:val="en-GB"/>
        </w:rPr>
      </w:pPr>
    </w:p>
    <w:p w14:paraId="29891561" w14:textId="094C3262" w:rsidR="000F5BEE" w:rsidRPr="007871E2" w:rsidRDefault="00B45A14" w:rsidP="000F5BEE">
      <w:pPr>
        <w:rPr>
          <w:bCs/>
          <w:lang w:val="en-GB"/>
        </w:rPr>
      </w:pPr>
      <w:r w:rsidRPr="007871E2">
        <w:rPr>
          <w:b/>
          <w:color w:val="425254" w:themeColor="text1"/>
          <w:lang w:val="en-GB"/>
        </w:rPr>
        <w:t xml:space="preserve">Prague – December 14, 2022 - </w:t>
      </w:r>
      <w:r w:rsidR="007871E2" w:rsidRPr="007871E2">
        <w:rPr>
          <w:color w:val="425254" w:themeColor="text1"/>
          <w:lang w:val="en-GB"/>
        </w:rPr>
        <w:t>CBRE, the world leader in the area of commercial real estate services, summarises this year's developments on the Czech commercial real estate market and provides an up-to-date outlook for 2023. How is the current macroeconomic situation reflected in investment activity and</w:t>
      </w:r>
      <w:r w:rsidR="00131CA3">
        <w:rPr>
          <w:color w:val="425254" w:themeColor="text1"/>
          <w:lang w:val="en-GB"/>
        </w:rPr>
        <w:t> </w:t>
      </w:r>
      <w:r w:rsidR="007871E2" w:rsidRPr="007871E2">
        <w:rPr>
          <w:color w:val="425254" w:themeColor="text1"/>
          <w:lang w:val="en-GB"/>
        </w:rPr>
        <w:t>other developments within the individual sectors, from offices and industrial and logistics premises to retail real estate? CBRE's latest analysis reveals all this and more.</w:t>
      </w:r>
    </w:p>
    <w:p w14:paraId="064C6EAE" w14:textId="77777777" w:rsidR="000F5BEE" w:rsidRPr="007871E2" w:rsidRDefault="000F5BEE" w:rsidP="00C576F3">
      <w:pPr>
        <w:rPr>
          <w:b/>
          <w:bCs/>
          <w:lang w:val="en-GB"/>
        </w:rPr>
      </w:pPr>
    </w:p>
    <w:p w14:paraId="3EE93560" w14:textId="64BA6A83" w:rsidR="00DF492B" w:rsidRPr="007871E2" w:rsidRDefault="00DF492B" w:rsidP="00DF492B">
      <w:pPr>
        <w:pStyle w:val="BodyCopy"/>
        <w:jc w:val="both"/>
        <w:rPr>
          <w:b/>
          <w:bCs/>
          <w:lang w:val="en-GB"/>
        </w:rPr>
      </w:pPr>
      <w:bookmarkStart w:id="0" w:name="_Hlk120870042"/>
      <w:r w:rsidRPr="007871E2">
        <w:rPr>
          <w:b/>
          <w:bCs/>
          <w:lang w:val="en-GB"/>
        </w:rPr>
        <w:t>Investment market: the largest downward pressure on price</w:t>
      </w:r>
      <w:r w:rsidR="00A52ACF" w:rsidRPr="007871E2">
        <w:rPr>
          <w:b/>
          <w:bCs/>
          <w:lang w:val="en-GB"/>
        </w:rPr>
        <w:t>s</w:t>
      </w:r>
      <w:r w:rsidRPr="007871E2">
        <w:rPr>
          <w:b/>
          <w:bCs/>
          <w:lang w:val="en-GB"/>
        </w:rPr>
        <w:t xml:space="preserve"> since </w:t>
      </w:r>
      <w:r w:rsidR="00A52ACF" w:rsidRPr="007871E2">
        <w:rPr>
          <w:b/>
          <w:bCs/>
          <w:lang w:val="en-GB"/>
        </w:rPr>
        <w:t xml:space="preserve">the </w:t>
      </w:r>
      <w:r w:rsidRPr="007871E2">
        <w:rPr>
          <w:b/>
          <w:bCs/>
          <w:lang w:val="en-GB"/>
        </w:rPr>
        <w:t>financial crisis in 2008</w:t>
      </w:r>
    </w:p>
    <w:p w14:paraId="682C9224" w14:textId="0FE46052" w:rsidR="00DF492B" w:rsidRPr="007871E2" w:rsidRDefault="00DF492B" w:rsidP="00DF492B">
      <w:pPr>
        <w:pStyle w:val="BodyCopy"/>
        <w:rPr>
          <w:lang w:val="en-GB"/>
        </w:rPr>
      </w:pPr>
      <w:r w:rsidRPr="007871E2">
        <w:rPr>
          <w:lang w:val="en-GB"/>
        </w:rPr>
        <w:t xml:space="preserve">CBRE expects total Czech commercial real estate investment volumes to reach €1.8-1.9 </w:t>
      </w:r>
      <w:proofErr w:type="spellStart"/>
      <w:r w:rsidRPr="007871E2">
        <w:rPr>
          <w:lang w:val="en-GB"/>
        </w:rPr>
        <w:t>bln</w:t>
      </w:r>
      <w:proofErr w:type="spellEnd"/>
      <w:r w:rsidRPr="007871E2">
        <w:rPr>
          <w:lang w:val="en-GB"/>
        </w:rPr>
        <w:t xml:space="preserve"> in 2022, representing </w:t>
      </w:r>
      <w:r w:rsidR="00A52ACF" w:rsidRPr="007871E2">
        <w:rPr>
          <w:lang w:val="en-GB"/>
        </w:rPr>
        <w:t xml:space="preserve">a </w:t>
      </w:r>
      <w:r w:rsidRPr="007871E2">
        <w:rPr>
          <w:lang w:val="en-GB"/>
        </w:rPr>
        <w:t>5-10% decrease y-o-y. The investment activity slowdown was significant mainly in</w:t>
      </w:r>
      <w:r w:rsidR="00131CA3">
        <w:rPr>
          <w:lang w:val="en-GB"/>
        </w:rPr>
        <w:t> </w:t>
      </w:r>
      <w:r w:rsidRPr="007871E2">
        <w:rPr>
          <w:lang w:val="en-GB"/>
        </w:rPr>
        <w:t>the</w:t>
      </w:r>
      <w:r w:rsidR="00131CA3">
        <w:rPr>
          <w:lang w:val="en-GB"/>
        </w:rPr>
        <w:t> </w:t>
      </w:r>
      <w:r w:rsidRPr="007871E2">
        <w:rPr>
          <w:lang w:val="en-GB"/>
        </w:rPr>
        <w:t>second half of year as Q1 was strong with almost €1</w:t>
      </w:r>
      <w:r w:rsidR="00A52ACF" w:rsidRPr="007871E2">
        <w:rPr>
          <w:lang w:val="en-GB"/>
        </w:rPr>
        <w:t xml:space="preserve"> </w:t>
      </w:r>
      <w:proofErr w:type="spellStart"/>
      <w:r w:rsidRPr="007871E2">
        <w:rPr>
          <w:lang w:val="en-GB"/>
        </w:rPr>
        <w:t>bln</w:t>
      </w:r>
      <w:proofErr w:type="spellEnd"/>
      <w:r w:rsidRPr="007871E2">
        <w:rPr>
          <w:lang w:val="en-GB"/>
        </w:rPr>
        <w:t xml:space="preserve"> transacted. Since Q2, there was lot of</w:t>
      </w:r>
      <w:r w:rsidR="00131CA3">
        <w:rPr>
          <w:lang w:val="en-GB"/>
        </w:rPr>
        <w:t> </w:t>
      </w:r>
      <w:r w:rsidRPr="007871E2">
        <w:rPr>
          <w:lang w:val="en-GB"/>
        </w:rPr>
        <w:t xml:space="preserve">transactions repriced or put on hold. The decrease in </w:t>
      </w:r>
      <w:r w:rsidR="00A52ACF" w:rsidRPr="007871E2">
        <w:rPr>
          <w:lang w:val="en-GB"/>
        </w:rPr>
        <w:t xml:space="preserve">the </w:t>
      </w:r>
      <w:r w:rsidRPr="007871E2">
        <w:rPr>
          <w:lang w:val="en-GB"/>
        </w:rPr>
        <w:t>investment volume was caused by a more uncertain economic outlook and rapidly increasing financing costs, with EURIBOR swap rates jump</w:t>
      </w:r>
      <w:r w:rsidR="00A52ACF" w:rsidRPr="007871E2">
        <w:rPr>
          <w:lang w:val="en-GB"/>
        </w:rPr>
        <w:t>ing</w:t>
      </w:r>
      <w:r w:rsidRPr="007871E2">
        <w:rPr>
          <w:lang w:val="en-GB"/>
        </w:rPr>
        <w:t xml:space="preserve"> by more than 300</w:t>
      </w:r>
      <w:r w:rsidR="00A52ACF" w:rsidRPr="007871E2">
        <w:rPr>
          <w:lang w:val="en-GB"/>
        </w:rPr>
        <w:t xml:space="preserve"> </w:t>
      </w:r>
      <w:r w:rsidRPr="007871E2">
        <w:rPr>
          <w:lang w:val="en-GB"/>
        </w:rPr>
        <w:t xml:space="preserve">bps. Higher borrowing costs have led to </w:t>
      </w:r>
      <w:r w:rsidR="00A52ACF" w:rsidRPr="007871E2">
        <w:rPr>
          <w:lang w:val="en-GB"/>
        </w:rPr>
        <w:t xml:space="preserve">a </w:t>
      </w:r>
      <w:r w:rsidRPr="007871E2">
        <w:rPr>
          <w:lang w:val="en-GB"/>
        </w:rPr>
        <w:t xml:space="preserve">cap rate decompression across all European regions and property types. Czech prime yields </w:t>
      </w:r>
      <w:r w:rsidR="00A52ACF" w:rsidRPr="007871E2">
        <w:rPr>
          <w:lang w:val="en-GB"/>
        </w:rPr>
        <w:t>are</w:t>
      </w:r>
      <w:r w:rsidRPr="007871E2">
        <w:rPr>
          <w:lang w:val="en-GB"/>
        </w:rPr>
        <w:t xml:space="preserve"> up by 25-75 bps since Q1 2022. Prime retail yields, having already seen expan</w:t>
      </w:r>
      <w:r w:rsidR="00A52ACF" w:rsidRPr="007871E2">
        <w:rPr>
          <w:lang w:val="en-GB"/>
        </w:rPr>
        <w:t xml:space="preserve">sion </w:t>
      </w:r>
      <w:r w:rsidRPr="007871E2">
        <w:rPr>
          <w:lang w:val="en-GB"/>
        </w:rPr>
        <w:t>during Covid, experienced less movement relative to Office and Logistics.</w:t>
      </w:r>
      <w:r w:rsidR="007871E2">
        <w:rPr>
          <w:lang w:val="en-GB"/>
        </w:rPr>
        <w:t xml:space="preserve"> </w:t>
      </w:r>
    </w:p>
    <w:p w14:paraId="492BB5C1" w14:textId="77777777" w:rsidR="00DF492B" w:rsidRPr="007871E2" w:rsidRDefault="00DF492B" w:rsidP="00DF492B">
      <w:pPr>
        <w:pStyle w:val="BodyCopy"/>
        <w:rPr>
          <w:lang w:val="en-GB"/>
        </w:rPr>
      </w:pPr>
    </w:p>
    <w:p w14:paraId="4B76E669" w14:textId="7C639F04" w:rsidR="00DF492B" w:rsidRPr="007871E2" w:rsidRDefault="00DF492B" w:rsidP="00DF492B">
      <w:pPr>
        <w:pStyle w:val="BodyCopy"/>
        <w:rPr>
          <w:lang w:val="en-GB"/>
        </w:rPr>
      </w:pPr>
      <w:r w:rsidRPr="007871E2">
        <w:rPr>
          <w:lang w:val="en-GB"/>
        </w:rPr>
        <w:t xml:space="preserve">Investors are now paying far closer attention to the movement of swap rates, loan margins and LTV ratios as these factors have a significant impact on net cash flows and naturally on </w:t>
      </w:r>
      <w:r w:rsidR="00A52ACF" w:rsidRPr="007871E2">
        <w:rPr>
          <w:lang w:val="en-GB"/>
        </w:rPr>
        <w:t xml:space="preserve">the </w:t>
      </w:r>
      <w:r w:rsidRPr="007871E2">
        <w:rPr>
          <w:lang w:val="en-GB"/>
        </w:rPr>
        <w:t>entry rate assumption.</w:t>
      </w:r>
      <w:r w:rsidR="00A52ACF" w:rsidRPr="007871E2">
        <w:rPr>
          <w:lang w:val="en-GB"/>
        </w:rPr>
        <w:t xml:space="preserve"> </w:t>
      </w:r>
      <w:r w:rsidRPr="007871E2">
        <w:rPr>
          <w:lang w:val="en-GB"/>
        </w:rPr>
        <w:t>Tighter financial conditions and a deteriorating economic outlook will weigh on</w:t>
      </w:r>
      <w:r w:rsidR="00131CA3">
        <w:rPr>
          <w:lang w:val="en-GB"/>
        </w:rPr>
        <w:t> c</w:t>
      </w:r>
      <w:r w:rsidRPr="007871E2">
        <w:rPr>
          <w:lang w:val="en-GB"/>
        </w:rPr>
        <w:t>ommercial real estate investment for the rest of this year and into the first half of 2023. While</w:t>
      </w:r>
      <w:r w:rsidR="00131CA3">
        <w:rPr>
          <w:lang w:val="en-GB"/>
        </w:rPr>
        <w:t> </w:t>
      </w:r>
      <w:r w:rsidRPr="007871E2">
        <w:rPr>
          <w:lang w:val="en-GB"/>
        </w:rPr>
        <w:t xml:space="preserve">increasing construction costs and extraordinary rental indexation </w:t>
      </w:r>
      <w:r w:rsidR="00A52ACF" w:rsidRPr="007871E2">
        <w:rPr>
          <w:lang w:val="en-GB"/>
        </w:rPr>
        <w:t xml:space="preserve">is </w:t>
      </w:r>
      <w:r w:rsidRPr="007871E2">
        <w:rPr>
          <w:lang w:val="en-GB"/>
        </w:rPr>
        <w:t>driving rental growth, the</w:t>
      </w:r>
      <w:r w:rsidR="00131CA3">
        <w:rPr>
          <w:lang w:val="en-GB"/>
        </w:rPr>
        <w:t> </w:t>
      </w:r>
      <w:r w:rsidRPr="007871E2">
        <w:rPr>
          <w:lang w:val="en-GB"/>
        </w:rPr>
        <w:t xml:space="preserve">capital values will stagnate as </w:t>
      </w:r>
      <w:r w:rsidR="00A52ACF" w:rsidRPr="007871E2">
        <w:rPr>
          <w:lang w:val="en-GB"/>
        </w:rPr>
        <w:t xml:space="preserve">the </w:t>
      </w:r>
      <w:r w:rsidRPr="007871E2">
        <w:rPr>
          <w:lang w:val="en-GB"/>
        </w:rPr>
        <w:t xml:space="preserve">cap rates decompress. </w:t>
      </w:r>
      <w:r w:rsidR="00A52ACF" w:rsidRPr="007871E2">
        <w:rPr>
          <w:lang w:val="en-GB"/>
        </w:rPr>
        <w:t>I</w:t>
      </w:r>
      <w:r w:rsidRPr="007871E2">
        <w:rPr>
          <w:lang w:val="en-GB"/>
        </w:rPr>
        <w:t xml:space="preserve">nterest rates </w:t>
      </w:r>
      <w:r w:rsidR="00A52ACF" w:rsidRPr="007871E2">
        <w:rPr>
          <w:lang w:val="en-GB"/>
        </w:rPr>
        <w:t>are expected to</w:t>
      </w:r>
      <w:r w:rsidRPr="007871E2">
        <w:rPr>
          <w:lang w:val="en-GB"/>
        </w:rPr>
        <w:t xml:space="preserve"> peak in</w:t>
      </w:r>
      <w:r w:rsidR="00C43ACF">
        <w:rPr>
          <w:lang w:val="en-GB"/>
        </w:rPr>
        <w:t> </w:t>
      </w:r>
      <w:r w:rsidR="00A52ACF" w:rsidRPr="007871E2">
        <w:rPr>
          <w:lang w:val="en-GB"/>
        </w:rPr>
        <w:t>the</w:t>
      </w:r>
      <w:r w:rsidR="00131CA3">
        <w:rPr>
          <w:lang w:val="en-GB"/>
        </w:rPr>
        <w:t> </w:t>
      </w:r>
      <w:r w:rsidRPr="007871E2">
        <w:rPr>
          <w:lang w:val="en-GB"/>
        </w:rPr>
        <w:t xml:space="preserve">coming months and </w:t>
      </w:r>
      <w:r w:rsidR="00A52ACF" w:rsidRPr="007871E2">
        <w:rPr>
          <w:lang w:val="en-GB"/>
        </w:rPr>
        <w:t xml:space="preserve">to </w:t>
      </w:r>
      <w:r w:rsidRPr="007871E2">
        <w:rPr>
          <w:lang w:val="en-GB"/>
        </w:rPr>
        <w:t xml:space="preserve">start to come down as inflation eases and economic conditions worsen. However, ultra-low interest rates are unlikely to happen in 2023. In 2023, </w:t>
      </w:r>
      <w:r w:rsidR="00A52ACF" w:rsidRPr="007871E2">
        <w:rPr>
          <w:lang w:val="en-GB"/>
        </w:rPr>
        <w:t xml:space="preserve">the </w:t>
      </w:r>
      <w:r w:rsidRPr="007871E2">
        <w:rPr>
          <w:lang w:val="en-GB"/>
        </w:rPr>
        <w:t>investment volume is</w:t>
      </w:r>
      <w:r w:rsidR="00C43ACF">
        <w:rPr>
          <w:lang w:val="en-GB"/>
        </w:rPr>
        <w:t> </w:t>
      </w:r>
      <w:r w:rsidRPr="007871E2">
        <w:rPr>
          <w:lang w:val="en-GB"/>
        </w:rPr>
        <w:t xml:space="preserve">forecasted to decline by 5-15% y-o-y. </w:t>
      </w:r>
    </w:p>
    <w:p w14:paraId="56A73787" w14:textId="2CC74EB2" w:rsidR="00DF492B" w:rsidRPr="007871E2" w:rsidRDefault="00DF492B" w:rsidP="00DF492B">
      <w:pPr>
        <w:pStyle w:val="BodyCopy"/>
        <w:rPr>
          <w:i/>
          <w:iCs/>
          <w:lang w:val="en-GB"/>
        </w:rPr>
      </w:pPr>
      <w:r w:rsidRPr="007871E2">
        <w:rPr>
          <w:lang w:val="en-GB"/>
        </w:rPr>
        <w:br/>
      </w:r>
      <w:r w:rsidRPr="007871E2">
        <w:rPr>
          <w:b/>
          <w:lang w:val="en-GB"/>
        </w:rPr>
        <w:t>Vítězslav Doležal, Director in Investment Properties CBRE</w:t>
      </w:r>
      <w:r w:rsidRPr="007871E2">
        <w:rPr>
          <w:lang w:val="en-GB"/>
        </w:rPr>
        <w:t xml:space="preserve">, adds: </w:t>
      </w:r>
      <w:r w:rsidRPr="007871E2">
        <w:rPr>
          <w:i/>
          <w:iCs/>
          <w:lang w:val="en-GB"/>
        </w:rPr>
        <w:t>“The Czech Republic</w:t>
      </w:r>
      <w:r w:rsidR="00C43ACF">
        <w:rPr>
          <w:i/>
          <w:iCs/>
          <w:lang w:val="en-GB"/>
        </w:rPr>
        <w:t xml:space="preserve"> is one of t</w:t>
      </w:r>
      <w:r w:rsidRPr="007871E2">
        <w:rPr>
          <w:i/>
          <w:iCs/>
          <w:lang w:val="en-GB"/>
        </w:rPr>
        <w:t>he</w:t>
      </w:r>
      <w:r w:rsidR="00C43ACF">
        <w:rPr>
          <w:i/>
          <w:iCs/>
          <w:lang w:val="en-GB"/>
        </w:rPr>
        <w:t> </w:t>
      </w:r>
      <w:r w:rsidRPr="007871E2">
        <w:rPr>
          <w:i/>
          <w:iCs/>
          <w:lang w:val="en-GB"/>
        </w:rPr>
        <w:t>least risky emerging markets due to its conservative fiscal and monetary policies, low debt, and</w:t>
      </w:r>
      <w:r w:rsidR="00C43ACF">
        <w:rPr>
          <w:i/>
          <w:iCs/>
          <w:lang w:val="en-GB"/>
        </w:rPr>
        <w:t> </w:t>
      </w:r>
      <w:r w:rsidRPr="007871E2">
        <w:rPr>
          <w:i/>
          <w:iCs/>
          <w:lang w:val="en-GB"/>
        </w:rPr>
        <w:t>an</w:t>
      </w:r>
      <w:r w:rsidR="00C43ACF">
        <w:rPr>
          <w:i/>
          <w:iCs/>
          <w:lang w:val="en-GB"/>
        </w:rPr>
        <w:t> </w:t>
      </w:r>
      <w:r w:rsidRPr="007871E2">
        <w:rPr>
          <w:i/>
          <w:iCs/>
          <w:lang w:val="en-GB"/>
        </w:rPr>
        <w:t xml:space="preserve">equally prudent and liquid banking sector. Its growth potential benefits from a diversified industrial base, high-skilled but cost-competitive labour force, and competitive exports. Czech real estate investments </w:t>
      </w:r>
      <w:r w:rsidR="00A52ACF" w:rsidRPr="007871E2">
        <w:rPr>
          <w:i/>
          <w:iCs/>
          <w:lang w:val="en-GB"/>
        </w:rPr>
        <w:t xml:space="preserve">still </w:t>
      </w:r>
      <w:r w:rsidRPr="007871E2">
        <w:rPr>
          <w:i/>
          <w:iCs/>
          <w:lang w:val="en-GB"/>
        </w:rPr>
        <w:t xml:space="preserve">provide attractive yield returns in comparison to </w:t>
      </w:r>
      <w:r w:rsidR="00A52ACF" w:rsidRPr="007871E2">
        <w:rPr>
          <w:i/>
          <w:iCs/>
          <w:lang w:val="en-GB"/>
        </w:rPr>
        <w:t>W</w:t>
      </w:r>
      <w:r w:rsidRPr="007871E2">
        <w:rPr>
          <w:i/>
          <w:iCs/>
          <w:lang w:val="en-GB"/>
        </w:rPr>
        <w:t xml:space="preserve">estern European markets. </w:t>
      </w:r>
      <w:r w:rsidR="007871E2">
        <w:rPr>
          <w:i/>
          <w:iCs/>
          <w:lang w:val="en-GB"/>
        </w:rPr>
        <w:t>Th</w:t>
      </w:r>
      <w:r w:rsidR="00A52ACF" w:rsidRPr="007871E2">
        <w:rPr>
          <w:i/>
          <w:iCs/>
          <w:lang w:val="en-GB"/>
        </w:rPr>
        <w:t>e</w:t>
      </w:r>
      <w:r w:rsidR="00C43ACF">
        <w:rPr>
          <w:i/>
          <w:iCs/>
          <w:lang w:val="en-GB"/>
        </w:rPr>
        <w:t> </w:t>
      </w:r>
      <w:r w:rsidR="00A52ACF" w:rsidRPr="007871E2">
        <w:rPr>
          <w:i/>
          <w:iCs/>
          <w:lang w:val="en-GB"/>
        </w:rPr>
        <w:t>a</w:t>
      </w:r>
      <w:r w:rsidRPr="007871E2">
        <w:rPr>
          <w:i/>
          <w:iCs/>
          <w:lang w:val="en-GB"/>
        </w:rPr>
        <w:t>ppetite for assets remains solid, with limited new development seen in all segments. Core logistics and office</w:t>
      </w:r>
      <w:r w:rsidR="00A52ACF" w:rsidRPr="007871E2">
        <w:rPr>
          <w:i/>
          <w:iCs/>
          <w:lang w:val="en-GB"/>
        </w:rPr>
        <w:t>s</w:t>
      </w:r>
      <w:r w:rsidRPr="007871E2">
        <w:rPr>
          <w:i/>
          <w:iCs/>
          <w:lang w:val="en-GB"/>
        </w:rPr>
        <w:t xml:space="preserve"> remain </w:t>
      </w:r>
      <w:r w:rsidR="00A52ACF" w:rsidRPr="007871E2">
        <w:rPr>
          <w:i/>
          <w:iCs/>
          <w:lang w:val="en-GB"/>
        </w:rPr>
        <w:t xml:space="preserve">the </w:t>
      </w:r>
      <w:r w:rsidRPr="007871E2">
        <w:rPr>
          <w:i/>
          <w:iCs/>
          <w:lang w:val="en-GB"/>
        </w:rPr>
        <w:t xml:space="preserve">most sought-after property types. Cross-regional capital flows to Europe remained stable on a quarter-on-quarter basis led by American capital; however only </w:t>
      </w:r>
      <w:r w:rsidR="00A52ACF" w:rsidRPr="007871E2">
        <w:rPr>
          <w:i/>
          <w:iCs/>
          <w:lang w:val="en-GB"/>
        </w:rPr>
        <w:t xml:space="preserve">a </w:t>
      </w:r>
      <w:r w:rsidRPr="007871E2">
        <w:rPr>
          <w:i/>
          <w:iCs/>
          <w:lang w:val="en-GB"/>
        </w:rPr>
        <w:t>small part of</w:t>
      </w:r>
      <w:r w:rsidR="00C43ACF">
        <w:rPr>
          <w:i/>
          <w:iCs/>
          <w:lang w:val="en-GB"/>
        </w:rPr>
        <w:t> </w:t>
      </w:r>
      <w:r w:rsidR="00A52ACF" w:rsidRPr="007871E2">
        <w:rPr>
          <w:i/>
          <w:iCs/>
          <w:lang w:val="en-GB"/>
        </w:rPr>
        <w:t>the</w:t>
      </w:r>
      <w:r w:rsidR="00C43ACF">
        <w:rPr>
          <w:i/>
          <w:iCs/>
          <w:lang w:val="en-GB"/>
        </w:rPr>
        <w:t> </w:t>
      </w:r>
      <w:r w:rsidRPr="007871E2">
        <w:rPr>
          <w:i/>
          <w:iCs/>
          <w:lang w:val="en-GB"/>
        </w:rPr>
        <w:t xml:space="preserve">capital flow to be deployed in the Czech Republic as the most transactions </w:t>
      </w:r>
      <w:r w:rsidR="00A52ACF" w:rsidRPr="007871E2">
        <w:rPr>
          <w:i/>
          <w:iCs/>
          <w:lang w:val="en-GB"/>
        </w:rPr>
        <w:t>are</w:t>
      </w:r>
      <w:r w:rsidRPr="007871E2">
        <w:rPr>
          <w:i/>
          <w:iCs/>
          <w:lang w:val="en-GB"/>
        </w:rPr>
        <w:t xml:space="preserve"> expected to</w:t>
      </w:r>
      <w:r w:rsidR="00C43ACF">
        <w:rPr>
          <w:i/>
          <w:iCs/>
          <w:lang w:val="en-GB"/>
        </w:rPr>
        <w:t> </w:t>
      </w:r>
      <w:r w:rsidRPr="007871E2">
        <w:rPr>
          <w:i/>
          <w:iCs/>
          <w:lang w:val="en-GB"/>
        </w:rPr>
        <w:t>continue to be led by domestic capital.”</w:t>
      </w:r>
    </w:p>
    <w:p w14:paraId="63EAEFF6" w14:textId="77777777" w:rsidR="00DF492B" w:rsidRPr="007871E2" w:rsidRDefault="00DF492B" w:rsidP="00DF492B">
      <w:pPr>
        <w:pStyle w:val="BodyCopy"/>
        <w:rPr>
          <w:i/>
          <w:iCs/>
          <w:lang w:val="en-GB"/>
        </w:rPr>
      </w:pPr>
    </w:p>
    <w:bookmarkEnd w:id="0"/>
    <w:p w14:paraId="302191CA" w14:textId="13F66E8D" w:rsidR="00254D6F" w:rsidRPr="007871E2" w:rsidRDefault="00254D6F" w:rsidP="00254D6F">
      <w:pPr>
        <w:pStyle w:val="BodyCopy"/>
        <w:jc w:val="both"/>
        <w:rPr>
          <w:b/>
          <w:bCs/>
          <w:lang w:val="en-GB"/>
        </w:rPr>
      </w:pPr>
      <w:r w:rsidRPr="007871E2">
        <w:rPr>
          <w:b/>
          <w:bCs/>
          <w:lang w:val="en-GB"/>
        </w:rPr>
        <w:t xml:space="preserve">Office market: </w:t>
      </w:r>
      <w:r w:rsidR="00301D40" w:rsidRPr="007871E2">
        <w:rPr>
          <w:b/>
          <w:bCs/>
          <w:lang w:val="en-GB"/>
        </w:rPr>
        <w:t xml:space="preserve">market moved to tenant´s market </w:t>
      </w:r>
      <w:r w:rsidRPr="007871E2">
        <w:rPr>
          <w:b/>
          <w:bCs/>
          <w:lang w:val="en-GB"/>
        </w:rPr>
        <w:t xml:space="preserve"> </w:t>
      </w:r>
    </w:p>
    <w:p w14:paraId="48277B5F" w14:textId="01BCA064" w:rsidR="006C6044" w:rsidRPr="007871E2" w:rsidRDefault="00A44446" w:rsidP="006C6044">
      <w:pPr>
        <w:pStyle w:val="BodyCopy"/>
        <w:rPr>
          <w:lang w:val="en-GB"/>
        </w:rPr>
      </w:pPr>
      <w:r w:rsidRPr="007871E2">
        <w:rPr>
          <w:lang w:val="en-GB"/>
        </w:rPr>
        <w:t>During the first three quarters of 2022, CBRE monitored a recovery in office leasing activity in Prague compared to the same period last year. During Q1-Q3 2022, take-up in Prague was up 10% compared to</w:t>
      </w:r>
      <w:r w:rsidR="00C43ACF">
        <w:rPr>
          <w:lang w:val="en-GB"/>
        </w:rPr>
        <w:t> </w:t>
      </w:r>
      <w:r w:rsidRPr="007871E2">
        <w:rPr>
          <w:lang w:val="en-GB"/>
        </w:rPr>
        <w:t xml:space="preserve">the same period last year, and up 27% compared to the same period in </w:t>
      </w:r>
      <w:r w:rsidR="00A52ACF" w:rsidRPr="007871E2">
        <w:rPr>
          <w:lang w:val="en-GB"/>
        </w:rPr>
        <w:t xml:space="preserve">the </w:t>
      </w:r>
      <w:r w:rsidRPr="007871E2">
        <w:rPr>
          <w:lang w:val="en-GB"/>
        </w:rPr>
        <w:t xml:space="preserve">pre-pandemic year 2019. </w:t>
      </w:r>
      <w:r w:rsidR="00056941" w:rsidRPr="007871E2">
        <w:rPr>
          <w:lang w:val="en-GB"/>
        </w:rPr>
        <w:t>In</w:t>
      </w:r>
      <w:r w:rsidR="00C43ACF">
        <w:rPr>
          <w:lang w:val="en-GB"/>
        </w:rPr>
        <w:t> </w:t>
      </w:r>
      <w:r w:rsidR="00056941" w:rsidRPr="007871E2">
        <w:rPr>
          <w:lang w:val="en-GB"/>
        </w:rPr>
        <w:t xml:space="preserve">Q1-Q3 2022, take-up was driven by IT companies which accounted for 31% of take-up. However, </w:t>
      </w:r>
      <w:r w:rsidR="00056941" w:rsidRPr="007871E2">
        <w:rPr>
          <w:lang w:val="en-GB"/>
        </w:rPr>
        <w:lastRenderedPageBreak/>
        <w:t>slowdown in</w:t>
      </w:r>
      <w:r w:rsidR="00A52ACF" w:rsidRPr="007871E2">
        <w:rPr>
          <w:lang w:val="en-GB"/>
        </w:rPr>
        <w:t xml:space="preserve"> the</w:t>
      </w:r>
      <w:r w:rsidR="00056941" w:rsidRPr="007871E2">
        <w:rPr>
          <w:lang w:val="en-GB"/>
        </w:rPr>
        <w:t xml:space="preserve"> tech sector is anticipated in 2023.</w:t>
      </w:r>
      <w:r w:rsidR="006C6044" w:rsidRPr="007871E2">
        <w:rPr>
          <w:lang w:val="en-GB"/>
        </w:rPr>
        <w:t xml:space="preserve"> </w:t>
      </w:r>
      <w:r w:rsidRPr="007871E2">
        <w:rPr>
          <w:lang w:val="en-GB"/>
        </w:rPr>
        <w:t xml:space="preserve">CBRE is </w:t>
      </w:r>
      <w:r w:rsidR="00056941" w:rsidRPr="007871E2">
        <w:rPr>
          <w:lang w:val="en-GB"/>
        </w:rPr>
        <w:t xml:space="preserve">already </w:t>
      </w:r>
      <w:r w:rsidRPr="007871E2">
        <w:rPr>
          <w:lang w:val="en-GB"/>
        </w:rPr>
        <w:t xml:space="preserve">monitoring that </w:t>
      </w:r>
      <w:r w:rsidR="00056941" w:rsidRPr="007871E2">
        <w:rPr>
          <w:lang w:val="en-GB"/>
        </w:rPr>
        <w:t xml:space="preserve">the </w:t>
      </w:r>
      <w:r w:rsidRPr="007871E2">
        <w:rPr>
          <w:lang w:val="en-GB"/>
        </w:rPr>
        <w:t xml:space="preserve">leasing activity is slowing down. </w:t>
      </w:r>
    </w:p>
    <w:p w14:paraId="0DF21D9E" w14:textId="77777777" w:rsidR="006C6044" w:rsidRPr="007871E2" w:rsidRDefault="006C6044" w:rsidP="006C6044">
      <w:pPr>
        <w:pStyle w:val="BodyCopy"/>
        <w:rPr>
          <w:lang w:val="en-GB"/>
        </w:rPr>
      </w:pPr>
    </w:p>
    <w:p w14:paraId="3A13AE66" w14:textId="4E967CED" w:rsidR="009373C4" w:rsidRPr="007871E2" w:rsidRDefault="006C6044" w:rsidP="006C6044">
      <w:pPr>
        <w:pStyle w:val="BodyCopy"/>
        <w:rPr>
          <w:i/>
          <w:iCs/>
          <w:lang w:val="en-GB"/>
        </w:rPr>
      </w:pPr>
      <w:r w:rsidRPr="007871E2">
        <w:rPr>
          <w:lang w:val="en-GB"/>
        </w:rPr>
        <w:t xml:space="preserve">Hybrid working has become the new normal. Some level of hybrid working is now accepted by most employers and expected by employees. </w:t>
      </w:r>
      <w:r w:rsidR="00A44446" w:rsidRPr="007871E2">
        <w:rPr>
          <w:b/>
          <w:lang w:val="en-GB"/>
        </w:rPr>
        <w:t>Simon Orr, Director in A&amp;T-</w:t>
      </w:r>
      <w:r w:rsidR="00A52ACF" w:rsidRPr="007871E2">
        <w:rPr>
          <w:b/>
          <w:lang w:val="en-GB"/>
        </w:rPr>
        <w:t>O</w:t>
      </w:r>
      <w:r w:rsidR="00A44446" w:rsidRPr="007871E2">
        <w:rPr>
          <w:b/>
          <w:lang w:val="en-GB"/>
        </w:rPr>
        <w:t>ffices</w:t>
      </w:r>
      <w:r w:rsidR="00A44446" w:rsidRPr="007871E2">
        <w:rPr>
          <w:lang w:val="en-GB"/>
        </w:rPr>
        <w:t>, describes: “</w:t>
      </w:r>
      <w:r w:rsidR="00A44446" w:rsidRPr="007871E2">
        <w:rPr>
          <w:i/>
          <w:iCs/>
          <w:lang w:val="en-GB"/>
        </w:rPr>
        <w:t>Among the</w:t>
      </w:r>
      <w:r w:rsidR="00C43ACF">
        <w:rPr>
          <w:i/>
          <w:iCs/>
          <w:lang w:val="en-GB"/>
        </w:rPr>
        <w:t> </w:t>
      </w:r>
      <w:r w:rsidR="00A44446" w:rsidRPr="007871E2">
        <w:rPr>
          <w:i/>
          <w:iCs/>
          <w:lang w:val="en-GB"/>
        </w:rPr>
        <w:t xml:space="preserve">biggest </w:t>
      </w:r>
      <w:proofErr w:type="gramStart"/>
      <w:r w:rsidR="00A44446" w:rsidRPr="007871E2">
        <w:rPr>
          <w:i/>
          <w:iCs/>
          <w:lang w:val="en-GB"/>
        </w:rPr>
        <w:t>tenant</w:t>
      </w:r>
      <w:r w:rsidR="00627EB2">
        <w:rPr>
          <w:i/>
          <w:iCs/>
          <w:lang w:val="en-GB"/>
        </w:rPr>
        <w:t>s</w:t>
      </w:r>
      <w:proofErr w:type="gramEnd"/>
      <w:r w:rsidR="00627EB2">
        <w:rPr>
          <w:i/>
          <w:iCs/>
          <w:lang w:val="en-GB"/>
        </w:rPr>
        <w:t xml:space="preserve"> </w:t>
      </w:r>
      <w:r w:rsidR="00A44446" w:rsidRPr="007871E2">
        <w:rPr>
          <w:i/>
          <w:iCs/>
          <w:lang w:val="en-GB"/>
        </w:rPr>
        <w:t xml:space="preserve">space reductions and consolidations are prevalent, so we see second-hand space being released to the market. Rising energy and service costs are having a major impact in companies’ financial and real estate planning, so caution will remain throughout 2023. However, at the same time, we are seeing </w:t>
      </w:r>
      <w:r w:rsidR="00A52ACF" w:rsidRPr="007871E2">
        <w:rPr>
          <w:i/>
          <w:iCs/>
          <w:lang w:val="en-GB"/>
        </w:rPr>
        <w:t xml:space="preserve">the </w:t>
      </w:r>
      <w:r w:rsidR="00A44446" w:rsidRPr="007871E2">
        <w:rPr>
          <w:i/>
          <w:iCs/>
          <w:lang w:val="en-GB"/>
        </w:rPr>
        <w:t>success of new premium office projects on the market showing that some companies are willing to pay above-market rents in the most-sought after locations.</w:t>
      </w:r>
      <w:r w:rsidR="00A44446" w:rsidRPr="007871E2">
        <w:rPr>
          <w:lang w:val="en-GB"/>
        </w:rPr>
        <w:t>”</w:t>
      </w:r>
    </w:p>
    <w:p w14:paraId="6F8299EA" w14:textId="66432C9F" w:rsidR="00301D40" w:rsidRPr="007871E2" w:rsidRDefault="00301D40" w:rsidP="00301D40">
      <w:pPr>
        <w:pStyle w:val="BodyCopy"/>
        <w:rPr>
          <w:lang w:val="en-GB"/>
        </w:rPr>
      </w:pPr>
    </w:p>
    <w:p w14:paraId="4735D1A7" w14:textId="144CC193" w:rsidR="00FA1984" w:rsidRPr="007871E2" w:rsidRDefault="00FA1984" w:rsidP="00FA1984">
      <w:pPr>
        <w:rPr>
          <w:color w:val="425254" w:themeColor="text1"/>
          <w:lang w:val="en-GB"/>
        </w:rPr>
      </w:pPr>
      <w:r w:rsidRPr="007871E2">
        <w:rPr>
          <w:color w:val="425254" w:themeColor="text1"/>
          <w:lang w:val="en-GB"/>
        </w:rPr>
        <w:t xml:space="preserve">The vacancy rate stood stable throughout the first three quarters in 2022 and currently stands at 8.1%. There is currently 192,000 </w:t>
      </w:r>
      <w:proofErr w:type="spellStart"/>
      <w:r w:rsidRPr="007871E2">
        <w:rPr>
          <w:color w:val="425254" w:themeColor="text1"/>
          <w:lang w:val="en-GB"/>
        </w:rPr>
        <w:t>sq</w:t>
      </w:r>
      <w:proofErr w:type="spellEnd"/>
      <w:r w:rsidR="007871E2">
        <w:rPr>
          <w:color w:val="425254" w:themeColor="text1"/>
          <w:lang w:val="en-GB"/>
        </w:rPr>
        <w:t xml:space="preserve"> </w:t>
      </w:r>
      <w:r w:rsidRPr="007871E2">
        <w:rPr>
          <w:color w:val="425254" w:themeColor="text1"/>
          <w:lang w:val="en-GB"/>
        </w:rPr>
        <w:t xml:space="preserve">m under construction out of which 136,000 </w:t>
      </w:r>
      <w:proofErr w:type="spellStart"/>
      <w:r w:rsidRPr="007871E2">
        <w:rPr>
          <w:color w:val="425254" w:themeColor="text1"/>
          <w:lang w:val="en-GB"/>
        </w:rPr>
        <w:t>sq</w:t>
      </w:r>
      <w:proofErr w:type="spellEnd"/>
      <w:r w:rsidR="007871E2">
        <w:rPr>
          <w:color w:val="425254" w:themeColor="text1"/>
          <w:lang w:val="en-GB"/>
        </w:rPr>
        <w:t xml:space="preserve"> </w:t>
      </w:r>
      <w:r w:rsidRPr="007871E2">
        <w:rPr>
          <w:color w:val="425254" w:themeColor="text1"/>
          <w:lang w:val="en-GB"/>
        </w:rPr>
        <w:t>m is scheduled to</w:t>
      </w:r>
      <w:r w:rsidR="00C43ACF">
        <w:rPr>
          <w:color w:val="425254" w:themeColor="text1"/>
          <w:lang w:val="en-GB"/>
        </w:rPr>
        <w:t> </w:t>
      </w:r>
      <w:r w:rsidRPr="007871E2">
        <w:rPr>
          <w:color w:val="425254" w:themeColor="text1"/>
          <w:lang w:val="en-GB"/>
        </w:rPr>
        <w:t>be</w:t>
      </w:r>
      <w:r w:rsidR="00C43ACF">
        <w:rPr>
          <w:color w:val="425254" w:themeColor="text1"/>
          <w:lang w:val="en-GB"/>
        </w:rPr>
        <w:t> </w:t>
      </w:r>
      <w:r w:rsidRPr="007871E2">
        <w:rPr>
          <w:color w:val="425254" w:themeColor="text1"/>
          <w:lang w:val="en-GB"/>
        </w:rPr>
        <w:t>delivered in 2023. This relatively high pipeline for 2023, which together with the slowing demand and the fact that there are hardly any newcomers to the Prague market might lead to growth in vacancies in the coming year. The different usage of space, such as laboratories or schools, should help us to keep vacancies at healthy levels.</w:t>
      </w:r>
    </w:p>
    <w:p w14:paraId="7527711B" w14:textId="5792E43F" w:rsidR="009C6411" w:rsidRPr="007871E2" w:rsidRDefault="009C6411" w:rsidP="00301D40">
      <w:pPr>
        <w:pStyle w:val="BodyCopy"/>
        <w:rPr>
          <w:lang w:val="en-GB"/>
        </w:rPr>
      </w:pPr>
    </w:p>
    <w:p w14:paraId="79E38BAA" w14:textId="3B16E2A8" w:rsidR="00703436" w:rsidRPr="007871E2" w:rsidRDefault="00703436" w:rsidP="00703436">
      <w:pPr>
        <w:pStyle w:val="BodyCopy"/>
        <w:rPr>
          <w:lang w:val="en-GB"/>
        </w:rPr>
      </w:pPr>
      <w:r w:rsidRPr="007871E2">
        <w:rPr>
          <w:lang w:val="en-GB"/>
        </w:rPr>
        <w:t>Prime rents grew by</w:t>
      </w:r>
      <w:r w:rsidR="00610107">
        <w:rPr>
          <w:lang w:val="en-GB"/>
        </w:rPr>
        <w:t xml:space="preserve"> 10</w:t>
      </w:r>
      <w:r w:rsidRPr="007871E2">
        <w:rPr>
          <w:lang w:val="en-GB"/>
        </w:rPr>
        <w:t xml:space="preserve">% since end of 2021. </w:t>
      </w:r>
      <w:r w:rsidR="00681C87" w:rsidRPr="007871E2">
        <w:rPr>
          <w:lang w:val="en-GB"/>
        </w:rPr>
        <w:t xml:space="preserve">CBRE </w:t>
      </w:r>
      <w:r w:rsidRPr="007871E2">
        <w:rPr>
          <w:lang w:val="en-GB"/>
        </w:rPr>
        <w:t>expect</w:t>
      </w:r>
      <w:r w:rsidR="00681C87" w:rsidRPr="007871E2">
        <w:rPr>
          <w:lang w:val="en-GB"/>
        </w:rPr>
        <w:t>s</w:t>
      </w:r>
      <w:r w:rsidRPr="007871E2">
        <w:rPr>
          <w:lang w:val="en-GB"/>
        </w:rPr>
        <w:t xml:space="preserve"> the slowdown of prime rental increases throughout 2023. During 2022 Prague’s office market shifted more in favour of tenants, and landlords are pressed to improve incentives in many projects</w:t>
      </w:r>
      <w:r w:rsidR="002E5AF9" w:rsidRPr="007871E2">
        <w:rPr>
          <w:lang w:val="en-GB"/>
        </w:rPr>
        <w:t>. CBRE anticipates</w:t>
      </w:r>
      <w:r w:rsidRPr="007871E2">
        <w:rPr>
          <w:lang w:val="en-GB"/>
        </w:rPr>
        <w:t xml:space="preserve"> this trend to continue a</w:t>
      </w:r>
      <w:r w:rsidR="00A52ACF" w:rsidRPr="007871E2">
        <w:rPr>
          <w:lang w:val="en-GB"/>
        </w:rPr>
        <w:t>long with</w:t>
      </w:r>
      <w:r w:rsidR="00C43ACF">
        <w:rPr>
          <w:lang w:val="en-GB"/>
        </w:rPr>
        <w:t> </w:t>
      </w:r>
      <w:r w:rsidRPr="007871E2">
        <w:rPr>
          <w:lang w:val="en-GB"/>
        </w:rPr>
        <w:t>massive increase of service charges and discussions about caps for rental increases.</w:t>
      </w:r>
    </w:p>
    <w:p w14:paraId="4DFA7FE9" w14:textId="77777777" w:rsidR="00FA1984" w:rsidRPr="007871E2" w:rsidRDefault="00FA1984" w:rsidP="00703436">
      <w:pPr>
        <w:pStyle w:val="BodyCopy"/>
        <w:rPr>
          <w:lang w:val="en-GB"/>
        </w:rPr>
      </w:pPr>
    </w:p>
    <w:p w14:paraId="6722E0C9" w14:textId="4BE124BE" w:rsidR="00D37D4B" w:rsidRPr="007871E2" w:rsidRDefault="00D37D4B" w:rsidP="00301D40">
      <w:pPr>
        <w:pStyle w:val="BodyCopy"/>
        <w:rPr>
          <w:b/>
          <w:bCs/>
          <w:lang w:val="en-GB"/>
        </w:rPr>
      </w:pPr>
      <w:r w:rsidRPr="007871E2">
        <w:rPr>
          <w:b/>
          <w:bCs/>
          <w:lang w:val="en-GB"/>
        </w:rPr>
        <w:t>Industrial</w:t>
      </w:r>
      <w:r w:rsidR="00C64AEB" w:rsidRPr="007871E2">
        <w:rPr>
          <w:b/>
          <w:bCs/>
          <w:lang w:val="en-GB"/>
        </w:rPr>
        <w:t xml:space="preserve"> </w:t>
      </w:r>
      <w:r w:rsidRPr="007871E2">
        <w:rPr>
          <w:b/>
          <w:bCs/>
          <w:lang w:val="en-GB"/>
        </w:rPr>
        <w:t>&amp;</w:t>
      </w:r>
      <w:r w:rsidR="00C64AEB" w:rsidRPr="007871E2">
        <w:rPr>
          <w:b/>
          <w:bCs/>
          <w:lang w:val="en-GB"/>
        </w:rPr>
        <w:t xml:space="preserve"> </w:t>
      </w:r>
      <w:r w:rsidRPr="007871E2">
        <w:rPr>
          <w:b/>
          <w:bCs/>
          <w:lang w:val="en-GB"/>
        </w:rPr>
        <w:t xml:space="preserve">Logistics market: </w:t>
      </w:r>
      <w:r w:rsidR="00F05226" w:rsidRPr="007871E2">
        <w:rPr>
          <w:b/>
          <w:bCs/>
          <w:lang w:val="en-GB"/>
        </w:rPr>
        <w:t>record-low vacancy rate</w:t>
      </w:r>
      <w:r w:rsidR="00A52ACF" w:rsidRPr="007871E2">
        <w:rPr>
          <w:b/>
          <w:bCs/>
          <w:lang w:val="en-GB"/>
        </w:rPr>
        <w:t>s</w:t>
      </w:r>
    </w:p>
    <w:p w14:paraId="24BBDBBF" w14:textId="574A3EB7" w:rsidR="000D341A" w:rsidRPr="007871E2" w:rsidRDefault="0097249B" w:rsidP="000D341A">
      <w:pPr>
        <w:pStyle w:val="BodyCopy"/>
        <w:rPr>
          <w:lang w:val="en-GB"/>
        </w:rPr>
      </w:pPr>
      <w:r w:rsidRPr="007871E2">
        <w:rPr>
          <w:lang w:val="en-GB"/>
        </w:rPr>
        <w:t xml:space="preserve">The industrial &amp; logistics market stands on </w:t>
      </w:r>
      <w:r w:rsidR="00A52ACF" w:rsidRPr="007871E2">
        <w:rPr>
          <w:lang w:val="en-GB"/>
        </w:rPr>
        <w:t xml:space="preserve">a </w:t>
      </w:r>
      <w:r w:rsidRPr="007871E2">
        <w:rPr>
          <w:lang w:val="en-GB"/>
        </w:rPr>
        <w:t>strong f</w:t>
      </w:r>
      <w:r w:rsidR="00A52ACF" w:rsidRPr="007871E2">
        <w:rPr>
          <w:lang w:val="en-GB"/>
        </w:rPr>
        <w:t>oundation</w:t>
      </w:r>
      <w:r w:rsidRPr="007871E2">
        <w:rPr>
          <w:lang w:val="en-GB"/>
        </w:rPr>
        <w:t xml:space="preserve">. Even if we are now seeing </w:t>
      </w:r>
      <w:r w:rsidR="00A52ACF" w:rsidRPr="007871E2">
        <w:rPr>
          <w:lang w:val="en-GB"/>
        </w:rPr>
        <w:t xml:space="preserve">a </w:t>
      </w:r>
      <w:r w:rsidRPr="007871E2">
        <w:rPr>
          <w:lang w:val="en-GB"/>
        </w:rPr>
        <w:t>slowdown in demand from e-commerce and parcel delivery companies, demand from logistics and production remain strong.</w:t>
      </w:r>
      <w:r w:rsidR="00A377C5" w:rsidRPr="007871E2">
        <w:rPr>
          <w:lang w:val="en-GB"/>
        </w:rPr>
        <w:t xml:space="preserve"> Currently</w:t>
      </w:r>
      <w:r w:rsidR="00207821" w:rsidRPr="007871E2">
        <w:rPr>
          <w:lang w:val="en-GB"/>
        </w:rPr>
        <w:t>, CBRE</w:t>
      </w:r>
      <w:r w:rsidR="00A377C5" w:rsidRPr="007871E2">
        <w:rPr>
          <w:lang w:val="en-GB"/>
        </w:rPr>
        <w:t xml:space="preserve"> </w:t>
      </w:r>
      <w:r w:rsidR="00A52ACF" w:rsidRPr="007871E2">
        <w:rPr>
          <w:lang w:val="en-GB"/>
        </w:rPr>
        <w:t xml:space="preserve">is </w:t>
      </w:r>
      <w:r w:rsidR="00A377C5" w:rsidRPr="007871E2">
        <w:rPr>
          <w:lang w:val="en-GB"/>
        </w:rPr>
        <w:t>monitor</w:t>
      </w:r>
      <w:r w:rsidR="00A52ACF" w:rsidRPr="007871E2">
        <w:rPr>
          <w:lang w:val="en-GB"/>
        </w:rPr>
        <w:t>ing</w:t>
      </w:r>
      <w:r w:rsidR="00A377C5" w:rsidRPr="007871E2">
        <w:rPr>
          <w:lang w:val="en-GB"/>
        </w:rPr>
        <w:t xml:space="preserve"> strong demand from heat pump and solar panel producers.</w:t>
      </w:r>
      <w:r w:rsidR="000D341A" w:rsidRPr="007871E2">
        <w:rPr>
          <w:lang w:val="en-GB"/>
        </w:rPr>
        <w:t xml:space="preserve"> </w:t>
      </w:r>
      <w:r w:rsidR="00A52ACF" w:rsidRPr="007871E2">
        <w:rPr>
          <w:lang w:val="en-GB"/>
        </w:rPr>
        <w:t>T</w:t>
      </w:r>
      <w:r w:rsidR="000D341A" w:rsidRPr="007871E2">
        <w:rPr>
          <w:lang w:val="en-GB"/>
        </w:rPr>
        <w:t xml:space="preserve">he activity </w:t>
      </w:r>
      <w:r w:rsidR="00A52ACF" w:rsidRPr="007871E2">
        <w:rPr>
          <w:lang w:val="en-GB"/>
        </w:rPr>
        <w:t xml:space="preserve">on the market is expected </w:t>
      </w:r>
      <w:r w:rsidR="000D341A" w:rsidRPr="007871E2">
        <w:rPr>
          <w:lang w:val="en-GB"/>
        </w:rPr>
        <w:t xml:space="preserve">to stay strong in 2023, however below </w:t>
      </w:r>
      <w:r w:rsidR="00A52ACF" w:rsidRPr="007871E2">
        <w:rPr>
          <w:lang w:val="en-GB"/>
        </w:rPr>
        <w:t xml:space="preserve">the </w:t>
      </w:r>
      <w:r w:rsidR="000D341A" w:rsidRPr="007871E2">
        <w:rPr>
          <w:lang w:val="en-GB"/>
        </w:rPr>
        <w:t>record levels of 202</w:t>
      </w:r>
      <w:r w:rsidR="00C64AEB" w:rsidRPr="007871E2">
        <w:rPr>
          <w:lang w:val="en-GB"/>
        </w:rPr>
        <w:t>1 and 2022.</w:t>
      </w:r>
    </w:p>
    <w:p w14:paraId="69F9E0D1" w14:textId="77777777" w:rsidR="00FA1984" w:rsidRPr="007871E2" w:rsidRDefault="00FA1984" w:rsidP="000D341A">
      <w:pPr>
        <w:pStyle w:val="BodyCopy"/>
        <w:rPr>
          <w:lang w:val="en-GB"/>
        </w:rPr>
      </w:pPr>
    </w:p>
    <w:p w14:paraId="1724CFD7" w14:textId="095B905A" w:rsidR="00630B79" w:rsidRPr="007871E2" w:rsidRDefault="0097249B" w:rsidP="00630B79">
      <w:pPr>
        <w:pStyle w:val="BodyCopy"/>
        <w:rPr>
          <w:i/>
          <w:iCs/>
          <w:lang w:val="en-GB"/>
        </w:rPr>
      </w:pPr>
      <w:r w:rsidRPr="007871E2">
        <w:rPr>
          <w:b/>
          <w:lang w:val="en-GB"/>
        </w:rPr>
        <w:t xml:space="preserve">Jan </w:t>
      </w:r>
      <w:proofErr w:type="spellStart"/>
      <w:r w:rsidRPr="007871E2">
        <w:rPr>
          <w:b/>
          <w:lang w:val="en-GB"/>
        </w:rPr>
        <w:t>Hřivnacký</w:t>
      </w:r>
      <w:proofErr w:type="spellEnd"/>
      <w:r w:rsidRPr="007871E2">
        <w:rPr>
          <w:b/>
          <w:lang w:val="en-GB"/>
        </w:rPr>
        <w:t xml:space="preserve">, Head of </w:t>
      </w:r>
      <w:r w:rsidR="00C77850" w:rsidRPr="007871E2">
        <w:rPr>
          <w:b/>
          <w:lang w:val="en-GB"/>
        </w:rPr>
        <w:t>I</w:t>
      </w:r>
      <w:r w:rsidRPr="007871E2">
        <w:rPr>
          <w:b/>
          <w:lang w:val="en-GB"/>
        </w:rPr>
        <w:t xml:space="preserve">ndustrial </w:t>
      </w:r>
      <w:r w:rsidR="00C77850" w:rsidRPr="007871E2">
        <w:rPr>
          <w:b/>
          <w:lang w:val="en-GB"/>
        </w:rPr>
        <w:t>L</w:t>
      </w:r>
      <w:r w:rsidR="00C86B4E" w:rsidRPr="007871E2">
        <w:rPr>
          <w:b/>
          <w:lang w:val="en-GB"/>
        </w:rPr>
        <w:t>easing</w:t>
      </w:r>
      <w:r w:rsidRPr="007871E2">
        <w:rPr>
          <w:lang w:val="en-GB"/>
        </w:rPr>
        <w:t>, comments: “</w:t>
      </w:r>
      <w:r w:rsidR="00F05226" w:rsidRPr="007871E2">
        <w:rPr>
          <w:i/>
          <w:iCs/>
          <w:lang w:val="en-GB"/>
        </w:rPr>
        <w:t xml:space="preserve">In the first three quarters of 2022, </w:t>
      </w:r>
      <w:r w:rsidR="004F5891">
        <w:rPr>
          <w:i/>
          <w:iCs/>
          <w:lang w:val="en-GB"/>
        </w:rPr>
        <w:t>1.</w:t>
      </w:r>
      <w:r w:rsidR="00024F8C" w:rsidRPr="007871E2">
        <w:rPr>
          <w:i/>
          <w:iCs/>
          <w:lang w:val="en-GB"/>
        </w:rPr>
        <w:t xml:space="preserve">2 </w:t>
      </w:r>
      <w:proofErr w:type="spellStart"/>
      <w:r w:rsidR="00024F8C" w:rsidRPr="007871E2">
        <w:rPr>
          <w:i/>
          <w:iCs/>
          <w:lang w:val="en-GB"/>
        </w:rPr>
        <w:t>mln</w:t>
      </w:r>
      <w:proofErr w:type="spellEnd"/>
      <w:r w:rsidR="004F5891">
        <w:rPr>
          <w:i/>
          <w:iCs/>
          <w:lang w:val="en-GB"/>
        </w:rPr>
        <w:t>.</w:t>
      </w:r>
      <w:r w:rsidR="00F05226" w:rsidRPr="007871E2">
        <w:rPr>
          <w:i/>
          <w:iCs/>
          <w:lang w:val="en-GB"/>
        </w:rPr>
        <w:t xml:space="preserve"> </w:t>
      </w:r>
      <w:proofErr w:type="spellStart"/>
      <w:r w:rsidR="00F05226" w:rsidRPr="007871E2">
        <w:rPr>
          <w:i/>
          <w:iCs/>
          <w:lang w:val="en-GB"/>
        </w:rPr>
        <w:t>sq</w:t>
      </w:r>
      <w:proofErr w:type="spellEnd"/>
      <w:r w:rsidR="00F05226" w:rsidRPr="007871E2">
        <w:rPr>
          <w:i/>
          <w:iCs/>
          <w:lang w:val="en-GB"/>
        </w:rPr>
        <w:t xml:space="preserve"> m of industrial &amp; logistics space was newly leased – it exceeded </w:t>
      </w:r>
      <w:r w:rsidR="00A52ACF" w:rsidRPr="007871E2">
        <w:rPr>
          <w:i/>
          <w:iCs/>
          <w:lang w:val="en-GB"/>
        </w:rPr>
        <w:t xml:space="preserve">the </w:t>
      </w:r>
      <w:r w:rsidR="00F05226" w:rsidRPr="007871E2">
        <w:rPr>
          <w:i/>
          <w:iCs/>
          <w:lang w:val="en-GB"/>
        </w:rPr>
        <w:t xml:space="preserve">take-up in any other first three quarters of the year in the past. With such a high demand and </w:t>
      </w:r>
      <w:r w:rsidR="00A52ACF" w:rsidRPr="007871E2">
        <w:rPr>
          <w:i/>
          <w:iCs/>
          <w:lang w:val="en-GB"/>
        </w:rPr>
        <w:t xml:space="preserve">a </w:t>
      </w:r>
      <w:r w:rsidR="00F05226" w:rsidRPr="007871E2">
        <w:rPr>
          <w:i/>
          <w:iCs/>
          <w:lang w:val="en-GB"/>
        </w:rPr>
        <w:t>record low overall vacancy rate at</w:t>
      </w:r>
      <w:r w:rsidR="00C43ACF">
        <w:rPr>
          <w:i/>
          <w:iCs/>
          <w:lang w:val="en-GB"/>
        </w:rPr>
        <w:t> </w:t>
      </w:r>
      <w:r w:rsidR="00F05226" w:rsidRPr="007871E2">
        <w:rPr>
          <w:i/>
          <w:iCs/>
          <w:lang w:val="en-GB"/>
        </w:rPr>
        <w:t xml:space="preserve">below 1% in Q3 2022, prime rental levels remain under upward pressure. In Q3 2022, prime rents were up by 25% y-o-y, however we expect </w:t>
      </w:r>
      <w:r w:rsidR="00A52ACF" w:rsidRPr="007871E2">
        <w:rPr>
          <w:i/>
          <w:iCs/>
          <w:lang w:val="en-GB"/>
        </w:rPr>
        <w:t xml:space="preserve">the </w:t>
      </w:r>
      <w:r w:rsidR="00F05226" w:rsidRPr="007871E2">
        <w:rPr>
          <w:i/>
          <w:iCs/>
          <w:lang w:val="en-GB"/>
        </w:rPr>
        <w:t>stabili</w:t>
      </w:r>
      <w:r w:rsidR="00A52ACF" w:rsidRPr="007871E2">
        <w:rPr>
          <w:i/>
          <w:iCs/>
          <w:lang w:val="en-GB"/>
        </w:rPr>
        <w:t>s</w:t>
      </w:r>
      <w:r w:rsidR="00F05226" w:rsidRPr="007871E2">
        <w:rPr>
          <w:i/>
          <w:iCs/>
          <w:lang w:val="en-GB"/>
        </w:rPr>
        <w:t>ation of rents throughout 2023.</w:t>
      </w:r>
      <w:r w:rsidRPr="007871E2">
        <w:rPr>
          <w:i/>
          <w:iCs/>
          <w:lang w:val="en-GB"/>
        </w:rPr>
        <w:t>”</w:t>
      </w:r>
    </w:p>
    <w:p w14:paraId="7C81091A" w14:textId="77777777" w:rsidR="00FA1984" w:rsidRPr="007871E2" w:rsidRDefault="00FA1984" w:rsidP="00630B79">
      <w:pPr>
        <w:pStyle w:val="BodyCopy"/>
        <w:rPr>
          <w:i/>
          <w:iCs/>
          <w:lang w:val="en-GB"/>
        </w:rPr>
      </w:pPr>
    </w:p>
    <w:p w14:paraId="4CC64D76" w14:textId="114222C3" w:rsidR="00D37D4B" w:rsidRPr="007871E2" w:rsidRDefault="000D341A" w:rsidP="00D37D4B">
      <w:pPr>
        <w:rPr>
          <w:color w:val="425254" w:themeColor="text1"/>
          <w:lang w:val="en-GB"/>
        </w:rPr>
      </w:pPr>
      <w:r w:rsidRPr="007871E2">
        <w:rPr>
          <w:color w:val="425254" w:themeColor="text1"/>
          <w:lang w:val="en-GB"/>
        </w:rPr>
        <w:t>A</w:t>
      </w:r>
      <w:r w:rsidR="00D37D4B" w:rsidRPr="007871E2">
        <w:rPr>
          <w:color w:val="425254" w:themeColor="text1"/>
          <w:lang w:val="en-GB"/>
        </w:rPr>
        <w:t xml:space="preserve">s of Q3 2022, there was nearly 1,160,000 </w:t>
      </w:r>
      <w:proofErr w:type="spellStart"/>
      <w:r w:rsidR="00D37D4B" w:rsidRPr="007871E2">
        <w:rPr>
          <w:color w:val="425254" w:themeColor="text1"/>
          <w:lang w:val="en-GB"/>
        </w:rPr>
        <w:t>sq</w:t>
      </w:r>
      <w:proofErr w:type="spellEnd"/>
      <w:r w:rsidR="00D37D4B" w:rsidRPr="007871E2">
        <w:rPr>
          <w:color w:val="425254" w:themeColor="text1"/>
          <w:lang w:val="en-GB"/>
        </w:rPr>
        <w:t xml:space="preserve"> m under construction, with around 342,000 </w:t>
      </w:r>
      <w:proofErr w:type="spellStart"/>
      <w:r w:rsidR="00D37D4B" w:rsidRPr="007871E2">
        <w:rPr>
          <w:color w:val="425254" w:themeColor="text1"/>
          <w:lang w:val="en-GB"/>
        </w:rPr>
        <w:t>sq</w:t>
      </w:r>
      <w:proofErr w:type="spellEnd"/>
      <w:r w:rsidR="00D37D4B" w:rsidRPr="007871E2">
        <w:rPr>
          <w:color w:val="425254" w:themeColor="text1"/>
          <w:lang w:val="en-GB"/>
        </w:rPr>
        <w:t xml:space="preserve"> m scheduled for delivery by the end of 2022. In Q3, </w:t>
      </w:r>
      <w:r w:rsidR="00574ED7" w:rsidRPr="007871E2">
        <w:rPr>
          <w:color w:val="425254" w:themeColor="text1"/>
          <w:lang w:val="en-GB"/>
        </w:rPr>
        <w:t>CBRE has</w:t>
      </w:r>
      <w:r w:rsidR="00D37D4B" w:rsidRPr="007871E2">
        <w:rPr>
          <w:color w:val="425254" w:themeColor="text1"/>
          <w:lang w:val="en-GB"/>
        </w:rPr>
        <w:t xml:space="preserve"> recorded an increase in speculative construction to </w:t>
      </w:r>
      <w:r w:rsidR="00C463A2">
        <w:rPr>
          <w:color w:val="425254" w:themeColor="text1"/>
          <w:lang w:val="en-GB"/>
        </w:rPr>
        <w:t>approx.</w:t>
      </w:r>
      <w:r w:rsidR="00D37D4B" w:rsidRPr="007871E2">
        <w:rPr>
          <w:color w:val="425254" w:themeColor="text1"/>
          <w:lang w:val="en-GB"/>
        </w:rPr>
        <w:t xml:space="preserve"> 34%</w:t>
      </w:r>
      <w:r w:rsidR="00574ED7" w:rsidRPr="007871E2">
        <w:rPr>
          <w:color w:val="425254" w:themeColor="text1"/>
          <w:lang w:val="en-GB"/>
        </w:rPr>
        <w:t xml:space="preserve">, however, the </w:t>
      </w:r>
      <w:r w:rsidR="00A377C5" w:rsidRPr="007871E2">
        <w:rPr>
          <w:color w:val="425254" w:themeColor="text1"/>
          <w:lang w:val="en-GB"/>
        </w:rPr>
        <w:t xml:space="preserve">slowdown in speculative </w:t>
      </w:r>
      <w:r w:rsidRPr="007871E2">
        <w:rPr>
          <w:color w:val="425254" w:themeColor="text1"/>
          <w:lang w:val="en-GB"/>
        </w:rPr>
        <w:t>construction</w:t>
      </w:r>
      <w:r w:rsidR="00A377C5" w:rsidRPr="007871E2">
        <w:rPr>
          <w:color w:val="425254" w:themeColor="text1"/>
          <w:lang w:val="en-GB"/>
        </w:rPr>
        <w:t xml:space="preserve"> in the upcoming year</w:t>
      </w:r>
      <w:r w:rsidR="00574ED7" w:rsidRPr="007871E2">
        <w:rPr>
          <w:color w:val="425254" w:themeColor="text1"/>
          <w:lang w:val="en-GB"/>
        </w:rPr>
        <w:t xml:space="preserve"> is</w:t>
      </w:r>
      <w:r w:rsidR="00C43ACF">
        <w:rPr>
          <w:color w:val="425254" w:themeColor="text1"/>
          <w:lang w:val="en-GB"/>
        </w:rPr>
        <w:t> </w:t>
      </w:r>
      <w:r w:rsidR="00574ED7" w:rsidRPr="007871E2">
        <w:rPr>
          <w:color w:val="425254" w:themeColor="text1"/>
          <w:lang w:val="en-GB"/>
        </w:rPr>
        <w:t>expected</w:t>
      </w:r>
      <w:r w:rsidR="00A377C5" w:rsidRPr="007871E2">
        <w:rPr>
          <w:color w:val="425254" w:themeColor="text1"/>
          <w:lang w:val="en-GB"/>
        </w:rPr>
        <w:t>.</w:t>
      </w:r>
    </w:p>
    <w:p w14:paraId="1734C749" w14:textId="77777777" w:rsidR="00FA1984" w:rsidRPr="007871E2" w:rsidRDefault="00FA1984" w:rsidP="00D37D4B">
      <w:pPr>
        <w:rPr>
          <w:color w:val="425254" w:themeColor="text1"/>
          <w:lang w:val="en-GB"/>
        </w:rPr>
      </w:pPr>
    </w:p>
    <w:p w14:paraId="6B2BBF88" w14:textId="6F59EEFE" w:rsidR="00C64AEB" w:rsidRPr="007871E2" w:rsidRDefault="008B3425" w:rsidP="00C64AEB">
      <w:pPr>
        <w:rPr>
          <w:color w:val="425254" w:themeColor="text1"/>
          <w:lang w:val="en-GB"/>
        </w:rPr>
      </w:pPr>
      <w:r w:rsidRPr="007871E2">
        <w:rPr>
          <w:color w:val="425254" w:themeColor="text1"/>
          <w:lang w:val="en-GB"/>
        </w:rPr>
        <w:t>A tight labo</w:t>
      </w:r>
      <w:r w:rsidR="00C463A2">
        <w:rPr>
          <w:color w:val="425254" w:themeColor="text1"/>
          <w:lang w:val="en-GB"/>
        </w:rPr>
        <w:t>u</w:t>
      </w:r>
      <w:r w:rsidRPr="007871E2">
        <w:rPr>
          <w:color w:val="425254" w:themeColor="text1"/>
          <w:lang w:val="en-GB"/>
        </w:rPr>
        <w:t>r market is leading to the greater implementation of automation, and CBRE anticipates that</w:t>
      </w:r>
      <w:r w:rsidR="00C43ACF">
        <w:rPr>
          <w:color w:val="425254" w:themeColor="text1"/>
          <w:lang w:val="en-GB"/>
        </w:rPr>
        <w:t> </w:t>
      </w:r>
      <w:r w:rsidRPr="007871E2">
        <w:rPr>
          <w:color w:val="425254" w:themeColor="text1"/>
          <w:lang w:val="en-GB"/>
        </w:rPr>
        <w:t>this trend will accelerate next year. Sustainability became a priority for logistics occupiers, influencing the current wave of development in a way not seen before. Unfortunately, t</w:t>
      </w:r>
      <w:r w:rsidR="00C64AEB" w:rsidRPr="007871E2">
        <w:rPr>
          <w:color w:val="425254" w:themeColor="text1"/>
          <w:lang w:val="en-GB"/>
        </w:rPr>
        <w:t>he slow permit</w:t>
      </w:r>
      <w:r w:rsidRPr="007871E2">
        <w:rPr>
          <w:color w:val="425254" w:themeColor="text1"/>
          <w:lang w:val="en-GB"/>
        </w:rPr>
        <w:t>ting</w:t>
      </w:r>
      <w:r w:rsidR="00C64AEB" w:rsidRPr="007871E2">
        <w:rPr>
          <w:color w:val="425254" w:themeColor="text1"/>
          <w:lang w:val="en-GB"/>
        </w:rPr>
        <w:t xml:space="preserve"> process in the Czech Republic may prolong transactions going forward.</w:t>
      </w:r>
    </w:p>
    <w:p w14:paraId="1D66492D" w14:textId="1E402863" w:rsidR="00C64AEB" w:rsidRPr="007871E2" w:rsidRDefault="00C64AEB" w:rsidP="00C64AEB">
      <w:pPr>
        <w:rPr>
          <w:b/>
          <w:bCs/>
          <w:color w:val="425254" w:themeColor="text1"/>
          <w:lang w:val="en-GB"/>
        </w:rPr>
      </w:pPr>
      <w:r w:rsidRPr="007871E2">
        <w:rPr>
          <w:b/>
          <w:bCs/>
          <w:color w:val="425254" w:themeColor="text1"/>
          <w:lang w:val="en-GB"/>
        </w:rPr>
        <w:lastRenderedPageBreak/>
        <w:t>Retail market:</w:t>
      </w:r>
      <w:r w:rsidR="00A4782D" w:rsidRPr="007871E2">
        <w:rPr>
          <w:b/>
          <w:bCs/>
          <w:color w:val="425254" w:themeColor="text1"/>
          <w:lang w:val="en-GB"/>
        </w:rPr>
        <w:t xml:space="preserve"> back to bricks-and-mortar stores</w:t>
      </w:r>
    </w:p>
    <w:p w14:paraId="2D0997BD" w14:textId="2C13A3A5" w:rsidR="00FA1984" w:rsidRPr="007871E2" w:rsidRDefault="00FA1984" w:rsidP="00FA1984">
      <w:pPr>
        <w:rPr>
          <w:color w:val="425254" w:themeColor="text1"/>
          <w:lang w:val="en-GB"/>
        </w:rPr>
      </w:pPr>
      <w:r w:rsidRPr="007871E2">
        <w:rPr>
          <w:color w:val="425254" w:themeColor="text1"/>
          <w:lang w:val="en-GB"/>
        </w:rPr>
        <w:t xml:space="preserve">Shopping centres performed well in the first three quarters of 2022. Overall footfall stood approx. </w:t>
      </w:r>
      <w:r w:rsidR="00A52ACF" w:rsidRPr="007871E2">
        <w:rPr>
          <w:color w:val="425254" w:themeColor="text1"/>
          <w:lang w:val="en-GB"/>
        </w:rPr>
        <w:t>at</w:t>
      </w:r>
      <w:r w:rsidR="00C43ACF">
        <w:rPr>
          <w:color w:val="425254" w:themeColor="text1"/>
          <w:lang w:val="en-GB"/>
        </w:rPr>
        <w:t> </w:t>
      </w:r>
      <w:r w:rsidRPr="007871E2">
        <w:rPr>
          <w:color w:val="425254" w:themeColor="text1"/>
          <w:lang w:val="en-GB"/>
        </w:rPr>
        <w:t>10% below the level of 2019, however turnovers exceeded it by more than 10%. However, the</w:t>
      </w:r>
      <w:r w:rsidR="00C43ACF">
        <w:rPr>
          <w:color w:val="425254" w:themeColor="text1"/>
          <w:lang w:val="en-GB"/>
        </w:rPr>
        <w:t> </w:t>
      </w:r>
      <w:r w:rsidRPr="007871E2">
        <w:rPr>
          <w:color w:val="425254" w:themeColor="text1"/>
          <w:lang w:val="en-GB"/>
        </w:rPr>
        <w:t>significant growth in sales above the pre-pandemic level was strongly influenced by high inflation. In Prague and major cities, the positive impact of spending by Ukrainian refugees also had a positive impact on the retail sector.</w:t>
      </w:r>
    </w:p>
    <w:p w14:paraId="640EF55D" w14:textId="77777777" w:rsidR="00FA1984" w:rsidRPr="007871E2" w:rsidRDefault="00FA1984" w:rsidP="00FA1984">
      <w:pPr>
        <w:rPr>
          <w:color w:val="425254" w:themeColor="text1"/>
          <w:lang w:val="en-GB"/>
        </w:rPr>
      </w:pPr>
    </w:p>
    <w:p w14:paraId="2CE7EA78" w14:textId="1F69D281" w:rsidR="00FA1984" w:rsidRPr="007871E2" w:rsidRDefault="00FA1984" w:rsidP="00FA1984">
      <w:pPr>
        <w:rPr>
          <w:color w:val="425254" w:themeColor="text1"/>
          <w:lang w:val="en-GB"/>
        </w:rPr>
      </w:pPr>
      <w:r w:rsidRPr="007871E2">
        <w:rPr>
          <w:b/>
          <w:color w:val="425254" w:themeColor="text1"/>
          <w:lang w:val="en-GB"/>
        </w:rPr>
        <w:t xml:space="preserve">Jan Janáček, Head of Retail </w:t>
      </w:r>
      <w:r w:rsidR="00F25B5F">
        <w:rPr>
          <w:b/>
          <w:color w:val="425254" w:themeColor="text1"/>
          <w:lang w:val="en-GB"/>
        </w:rPr>
        <w:t>S</w:t>
      </w:r>
      <w:r w:rsidRPr="007871E2">
        <w:rPr>
          <w:b/>
          <w:color w:val="425254" w:themeColor="text1"/>
          <w:lang w:val="en-GB"/>
        </w:rPr>
        <w:t>ector</w:t>
      </w:r>
      <w:r w:rsidR="005175BE" w:rsidRPr="007871E2">
        <w:rPr>
          <w:b/>
          <w:color w:val="425254" w:themeColor="text1"/>
          <w:lang w:val="en-GB"/>
        </w:rPr>
        <w:t xml:space="preserve"> and A&amp;T</w:t>
      </w:r>
      <w:r w:rsidR="00F25B5F">
        <w:rPr>
          <w:b/>
          <w:color w:val="425254" w:themeColor="text1"/>
          <w:lang w:val="en-GB"/>
        </w:rPr>
        <w:t>-</w:t>
      </w:r>
      <w:r w:rsidR="005175BE" w:rsidRPr="007871E2">
        <w:rPr>
          <w:b/>
          <w:color w:val="425254" w:themeColor="text1"/>
          <w:lang w:val="en-GB"/>
        </w:rPr>
        <w:t>Retail</w:t>
      </w:r>
      <w:r w:rsidR="00024932" w:rsidRPr="007871E2">
        <w:rPr>
          <w:color w:val="425254" w:themeColor="text1"/>
          <w:lang w:val="en-GB"/>
        </w:rPr>
        <w:t>,</w:t>
      </w:r>
      <w:r w:rsidRPr="007871E2">
        <w:rPr>
          <w:color w:val="425254" w:themeColor="text1"/>
          <w:lang w:val="en-GB"/>
        </w:rPr>
        <w:t xml:space="preserve"> adds: “</w:t>
      </w:r>
      <w:proofErr w:type="gramStart"/>
      <w:r w:rsidRPr="007871E2">
        <w:rPr>
          <w:i/>
          <w:iCs/>
          <w:color w:val="425254" w:themeColor="text1"/>
          <w:lang w:val="en-GB"/>
        </w:rPr>
        <w:t>Post-pandemic</w:t>
      </w:r>
      <w:proofErr w:type="gramEnd"/>
      <w:r w:rsidRPr="007871E2">
        <w:rPr>
          <w:i/>
          <w:iCs/>
          <w:color w:val="425254" w:themeColor="text1"/>
          <w:lang w:val="en-GB"/>
        </w:rPr>
        <w:t xml:space="preserve"> changes in shopping behaviour were reflected in </w:t>
      </w:r>
      <w:r w:rsidR="00A52ACF" w:rsidRPr="007871E2">
        <w:rPr>
          <w:i/>
          <w:iCs/>
          <w:color w:val="425254" w:themeColor="text1"/>
          <w:lang w:val="en-GB"/>
        </w:rPr>
        <w:t xml:space="preserve">a </w:t>
      </w:r>
      <w:r w:rsidRPr="007871E2">
        <w:rPr>
          <w:i/>
          <w:iCs/>
          <w:color w:val="425254" w:themeColor="text1"/>
          <w:lang w:val="en-GB"/>
        </w:rPr>
        <w:t xml:space="preserve">lower frequency of purchases, with </w:t>
      </w:r>
      <w:r w:rsidR="00A52ACF" w:rsidRPr="007871E2">
        <w:rPr>
          <w:i/>
          <w:iCs/>
          <w:color w:val="425254" w:themeColor="text1"/>
          <w:lang w:val="en-GB"/>
        </w:rPr>
        <w:t xml:space="preserve">a </w:t>
      </w:r>
      <w:r w:rsidRPr="007871E2">
        <w:rPr>
          <w:i/>
          <w:iCs/>
          <w:color w:val="425254" w:themeColor="text1"/>
          <w:lang w:val="en-GB"/>
        </w:rPr>
        <w:t>higher average shopping basket. Although footfall and, to an even greater extent, retail sales have been recovering gradually from</w:t>
      </w:r>
      <w:r w:rsidR="00C43ACF">
        <w:rPr>
          <w:i/>
          <w:iCs/>
          <w:color w:val="425254" w:themeColor="text1"/>
          <w:lang w:val="en-GB"/>
        </w:rPr>
        <w:t> </w:t>
      </w:r>
      <w:r w:rsidRPr="007871E2">
        <w:rPr>
          <w:i/>
          <w:iCs/>
          <w:color w:val="425254" w:themeColor="text1"/>
          <w:lang w:val="en-GB"/>
        </w:rPr>
        <w:t>the</w:t>
      </w:r>
      <w:r w:rsidR="00C43ACF">
        <w:rPr>
          <w:i/>
          <w:iCs/>
          <w:color w:val="425254" w:themeColor="text1"/>
          <w:lang w:val="en-GB"/>
        </w:rPr>
        <w:t> </w:t>
      </w:r>
      <w:r w:rsidRPr="007871E2">
        <w:rPr>
          <w:i/>
          <w:iCs/>
          <w:color w:val="425254" w:themeColor="text1"/>
          <w:lang w:val="en-GB"/>
        </w:rPr>
        <w:t>pandemic, the market is threatened by the downside risks related to customer price inflation, and the increases in costs which will affect the market going forward</w:t>
      </w:r>
      <w:r w:rsidRPr="007871E2">
        <w:rPr>
          <w:color w:val="425254" w:themeColor="text1"/>
          <w:lang w:val="en-GB"/>
        </w:rPr>
        <w:t>.”</w:t>
      </w:r>
    </w:p>
    <w:p w14:paraId="581AD6D5" w14:textId="77777777" w:rsidR="00FA1984" w:rsidRPr="007871E2" w:rsidRDefault="00FA1984" w:rsidP="00FA1984">
      <w:pPr>
        <w:rPr>
          <w:color w:val="425254" w:themeColor="text1"/>
          <w:lang w:val="en-GB"/>
        </w:rPr>
      </w:pPr>
    </w:p>
    <w:p w14:paraId="18B09009" w14:textId="77777777" w:rsidR="00FA1984" w:rsidRPr="007871E2" w:rsidRDefault="00FA1984" w:rsidP="00FA1984">
      <w:pPr>
        <w:rPr>
          <w:color w:val="425254" w:themeColor="text1"/>
          <w:lang w:val="en-GB"/>
        </w:rPr>
      </w:pPr>
      <w:r w:rsidRPr="007871E2">
        <w:rPr>
          <w:color w:val="425254" w:themeColor="text1"/>
          <w:lang w:val="en-GB"/>
        </w:rPr>
        <w:t>Greater work flexibility, but also a reassessment of life values, is influencing shopping patterns, not only in the online and in-store context, but also changing the customer structure, for example in city centres, where there is a noticeable decline in people commuting to offices on weekdays.</w:t>
      </w:r>
    </w:p>
    <w:p w14:paraId="40B8AD55" w14:textId="77777777" w:rsidR="00FA1984" w:rsidRPr="007871E2" w:rsidRDefault="00FA1984" w:rsidP="00FA1984">
      <w:pPr>
        <w:rPr>
          <w:color w:val="425254" w:themeColor="text1"/>
          <w:lang w:val="en-GB"/>
        </w:rPr>
      </w:pPr>
    </w:p>
    <w:p w14:paraId="311CA726" w14:textId="5654E3EC" w:rsidR="00FA1984" w:rsidRPr="007871E2" w:rsidRDefault="00FA1984" w:rsidP="00FA1984">
      <w:pPr>
        <w:rPr>
          <w:color w:val="425254" w:themeColor="text1"/>
          <w:lang w:val="en-GB"/>
        </w:rPr>
      </w:pPr>
      <w:r w:rsidRPr="007871E2">
        <w:rPr>
          <w:color w:val="425254" w:themeColor="text1"/>
          <w:lang w:val="en-GB"/>
        </w:rPr>
        <w:t xml:space="preserve">In the current </w:t>
      </w:r>
      <w:r w:rsidR="00A52ACF" w:rsidRPr="007871E2">
        <w:rPr>
          <w:lang w:val="en-GB"/>
        </w:rPr>
        <w:t>“</w:t>
      </w:r>
      <w:r w:rsidRPr="007871E2">
        <w:rPr>
          <w:color w:val="425254" w:themeColor="text1"/>
          <w:lang w:val="en-GB"/>
        </w:rPr>
        <w:t>post</w:t>
      </w:r>
      <w:r w:rsidR="00A52ACF" w:rsidRPr="007871E2">
        <w:rPr>
          <w:color w:val="425254" w:themeColor="text1"/>
          <w:lang w:val="en-GB"/>
        </w:rPr>
        <w:t>-C</w:t>
      </w:r>
      <w:r w:rsidRPr="007871E2">
        <w:rPr>
          <w:color w:val="425254" w:themeColor="text1"/>
          <w:lang w:val="en-GB"/>
        </w:rPr>
        <w:t>ovid era</w:t>
      </w:r>
      <w:r w:rsidR="00A52ACF" w:rsidRPr="007871E2">
        <w:rPr>
          <w:lang w:val="en-GB"/>
        </w:rPr>
        <w:t>”</w:t>
      </w:r>
      <w:r w:rsidRPr="007871E2">
        <w:rPr>
          <w:color w:val="425254" w:themeColor="text1"/>
          <w:lang w:val="en-GB"/>
        </w:rPr>
        <w:t xml:space="preserve">, </w:t>
      </w:r>
      <w:r w:rsidR="00E5338E" w:rsidRPr="007871E2">
        <w:rPr>
          <w:color w:val="425254" w:themeColor="text1"/>
          <w:lang w:val="en-GB"/>
        </w:rPr>
        <w:t xml:space="preserve">CBRE </w:t>
      </w:r>
      <w:r w:rsidRPr="007871E2">
        <w:rPr>
          <w:color w:val="425254" w:themeColor="text1"/>
          <w:lang w:val="en-GB"/>
        </w:rPr>
        <w:t>monitor</w:t>
      </w:r>
      <w:r w:rsidR="00E5338E" w:rsidRPr="007871E2">
        <w:rPr>
          <w:color w:val="425254" w:themeColor="text1"/>
          <w:lang w:val="en-GB"/>
        </w:rPr>
        <w:t>s</w:t>
      </w:r>
      <w:r w:rsidRPr="007871E2">
        <w:rPr>
          <w:color w:val="425254" w:themeColor="text1"/>
          <w:lang w:val="en-GB"/>
        </w:rPr>
        <w:t xml:space="preserve"> a visible </w:t>
      </w:r>
      <w:proofErr w:type="spellStart"/>
      <w:r w:rsidRPr="007871E2">
        <w:rPr>
          <w:color w:val="425254" w:themeColor="text1"/>
          <w:lang w:val="en-GB"/>
        </w:rPr>
        <w:t>spillover</w:t>
      </w:r>
      <w:proofErr w:type="spellEnd"/>
      <w:r w:rsidRPr="007871E2">
        <w:rPr>
          <w:color w:val="425254" w:themeColor="text1"/>
          <w:lang w:val="en-GB"/>
        </w:rPr>
        <w:t xml:space="preserve"> of online sales back to bricks-and-mortar stores. E-commerce sales are not reaching levels during</w:t>
      </w:r>
      <w:r w:rsidR="00A52ACF" w:rsidRPr="007871E2">
        <w:rPr>
          <w:color w:val="425254" w:themeColor="text1"/>
          <w:lang w:val="en-GB"/>
        </w:rPr>
        <w:t xml:space="preserve"> the</w:t>
      </w:r>
      <w:r w:rsidRPr="007871E2">
        <w:rPr>
          <w:color w:val="425254" w:themeColor="text1"/>
          <w:lang w:val="en-GB"/>
        </w:rPr>
        <w:t xml:space="preserve"> pandemic and the ratio of online sales to total sales has declined. But still, with the e-commerce penetration of 17%, the Czech Republic </w:t>
      </w:r>
      <w:r w:rsidR="00A52ACF" w:rsidRPr="007871E2">
        <w:rPr>
          <w:color w:val="425254" w:themeColor="text1"/>
          <w:lang w:val="en-GB"/>
        </w:rPr>
        <w:t>has</w:t>
      </w:r>
      <w:r w:rsidRPr="007871E2">
        <w:rPr>
          <w:color w:val="425254" w:themeColor="text1"/>
          <w:lang w:val="en-GB"/>
        </w:rPr>
        <w:t xml:space="preserve"> one of the highest e-commerce penetration </w:t>
      </w:r>
      <w:r w:rsidR="00A52ACF" w:rsidRPr="007871E2">
        <w:rPr>
          <w:color w:val="425254" w:themeColor="text1"/>
          <w:lang w:val="en-GB"/>
        </w:rPr>
        <w:t xml:space="preserve">rates </w:t>
      </w:r>
      <w:r w:rsidRPr="007871E2">
        <w:rPr>
          <w:color w:val="425254" w:themeColor="text1"/>
          <w:lang w:val="en-GB"/>
        </w:rPr>
        <w:t>within the Europe.</w:t>
      </w:r>
    </w:p>
    <w:p w14:paraId="02EE433B" w14:textId="77777777" w:rsidR="007C1FDD" w:rsidRPr="007871E2" w:rsidRDefault="007C1FDD" w:rsidP="00FA1984">
      <w:pPr>
        <w:rPr>
          <w:color w:val="425254" w:themeColor="text1"/>
          <w:lang w:val="en-GB"/>
        </w:rPr>
      </w:pPr>
    </w:p>
    <w:p w14:paraId="718AF6EB" w14:textId="17D4E732" w:rsidR="00FA1984" w:rsidRPr="007871E2" w:rsidRDefault="00334DAA" w:rsidP="00FA1984">
      <w:pPr>
        <w:rPr>
          <w:lang w:val="en-GB"/>
        </w:rPr>
      </w:pPr>
      <w:r w:rsidRPr="007871E2">
        <w:rPr>
          <w:color w:val="425254" w:themeColor="text1"/>
          <w:lang w:val="en-GB"/>
        </w:rPr>
        <w:t>A</w:t>
      </w:r>
      <w:r w:rsidR="00FA1984" w:rsidRPr="007871E2">
        <w:rPr>
          <w:color w:val="425254" w:themeColor="text1"/>
          <w:lang w:val="en-GB"/>
        </w:rPr>
        <w:t xml:space="preserve">lthough shopping centre development will </w:t>
      </w:r>
      <w:r w:rsidR="00A52ACF" w:rsidRPr="007871E2">
        <w:rPr>
          <w:color w:val="425254" w:themeColor="text1"/>
          <w:lang w:val="en-GB"/>
        </w:rPr>
        <w:t xml:space="preserve">once </w:t>
      </w:r>
      <w:r w:rsidR="00FA1984" w:rsidRPr="007871E2">
        <w:rPr>
          <w:color w:val="425254" w:themeColor="text1"/>
          <w:lang w:val="en-GB"/>
        </w:rPr>
        <w:t>again be limited in 2023, one new shopping centre</w:t>
      </w:r>
      <w:r w:rsidR="005175BE" w:rsidRPr="007871E2">
        <w:rPr>
          <w:color w:val="425254" w:themeColor="text1"/>
          <w:lang w:val="en-GB"/>
        </w:rPr>
        <w:t xml:space="preserve"> (</w:t>
      </w:r>
      <w:proofErr w:type="gramStart"/>
      <w:r w:rsidR="00C463A2">
        <w:rPr>
          <w:color w:val="425254" w:themeColor="text1"/>
          <w:lang w:val="en-GB"/>
        </w:rPr>
        <w:t>i.e.</w:t>
      </w:r>
      <w:proofErr w:type="gramEnd"/>
      <w:r w:rsidR="00C43ACF">
        <w:rPr>
          <w:color w:val="425254" w:themeColor="text1"/>
          <w:lang w:val="en-GB"/>
        </w:rPr>
        <w:t> </w:t>
      </w:r>
      <w:r w:rsidR="005175BE" w:rsidRPr="007871E2">
        <w:rPr>
          <w:color w:val="425254" w:themeColor="text1"/>
          <w:lang w:val="en-GB"/>
        </w:rPr>
        <w:t>Smíchov City)</w:t>
      </w:r>
      <w:r w:rsidR="00FA1984" w:rsidRPr="007871E2">
        <w:rPr>
          <w:color w:val="425254" w:themeColor="text1"/>
          <w:lang w:val="en-GB"/>
        </w:rPr>
        <w:t xml:space="preserve"> providing 6,300 </w:t>
      </w:r>
      <w:proofErr w:type="spellStart"/>
      <w:r w:rsidR="00FA1984" w:rsidRPr="007871E2">
        <w:rPr>
          <w:color w:val="425254" w:themeColor="text1"/>
          <w:lang w:val="en-GB"/>
        </w:rPr>
        <w:t>sq</w:t>
      </w:r>
      <w:proofErr w:type="spellEnd"/>
      <w:r w:rsidR="00FA1984" w:rsidRPr="007871E2">
        <w:rPr>
          <w:color w:val="425254" w:themeColor="text1"/>
          <w:lang w:val="en-GB"/>
        </w:rPr>
        <w:t xml:space="preserve"> m</w:t>
      </w:r>
      <w:r w:rsidR="00A52ACF" w:rsidRPr="007871E2">
        <w:rPr>
          <w:color w:val="425254" w:themeColor="text1"/>
          <w:lang w:val="en-GB"/>
        </w:rPr>
        <w:t xml:space="preserve"> is expected to be delivered</w:t>
      </w:r>
      <w:r w:rsidR="00FA1984" w:rsidRPr="007871E2">
        <w:rPr>
          <w:color w:val="425254" w:themeColor="text1"/>
          <w:lang w:val="en-GB"/>
        </w:rPr>
        <w:t xml:space="preserve">. </w:t>
      </w:r>
      <w:proofErr w:type="gramStart"/>
      <w:r w:rsidR="00FA1984" w:rsidRPr="007871E2">
        <w:rPr>
          <w:color w:val="425254" w:themeColor="text1"/>
          <w:lang w:val="en-GB"/>
        </w:rPr>
        <w:t>Retail park</w:t>
      </w:r>
      <w:proofErr w:type="gramEnd"/>
      <w:r w:rsidR="00FA1984" w:rsidRPr="007871E2">
        <w:rPr>
          <w:color w:val="425254" w:themeColor="text1"/>
          <w:lang w:val="en-GB"/>
        </w:rPr>
        <w:t xml:space="preserve"> development activity is</w:t>
      </w:r>
      <w:r w:rsidR="00C43ACF">
        <w:rPr>
          <w:color w:val="425254" w:themeColor="text1"/>
          <w:lang w:val="en-GB"/>
        </w:rPr>
        <w:t> </w:t>
      </w:r>
      <w:r w:rsidR="00FA1984" w:rsidRPr="007871E2">
        <w:rPr>
          <w:color w:val="425254" w:themeColor="text1"/>
          <w:lang w:val="en-GB"/>
        </w:rPr>
        <w:t>expected to continue</w:t>
      </w:r>
      <w:r w:rsidR="00A52ACF" w:rsidRPr="007871E2">
        <w:rPr>
          <w:color w:val="425254" w:themeColor="text1"/>
          <w:lang w:val="en-GB"/>
        </w:rPr>
        <w:t xml:space="preserve"> on the market</w:t>
      </w:r>
      <w:r w:rsidR="00FA1984" w:rsidRPr="007871E2">
        <w:rPr>
          <w:color w:val="425254" w:themeColor="text1"/>
          <w:lang w:val="en-GB"/>
        </w:rPr>
        <w:t>.</w:t>
      </w:r>
      <w:r w:rsidR="00FA1984" w:rsidRPr="007871E2">
        <w:rPr>
          <w:lang w:val="en-GB"/>
        </w:rPr>
        <w:t xml:space="preserve"> </w:t>
      </w:r>
    </w:p>
    <w:p w14:paraId="28A48908" w14:textId="789BBC0C" w:rsidR="00FA1984" w:rsidRPr="007871E2" w:rsidRDefault="004F5891" w:rsidP="00FA1984">
      <w:pPr>
        <w:rPr>
          <w:lang w:val="en-GB"/>
        </w:rPr>
      </w:pPr>
      <w:r>
        <w:rPr>
          <w:lang w:val="en-GB"/>
        </w:rPr>
        <w:br/>
      </w:r>
    </w:p>
    <w:p w14:paraId="5AD2AE4B" w14:textId="77777777" w:rsidR="004F5891" w:rsidRPr="004F5891" w:rsidRDefault="004F5891" w:rsidP="004F5891">
      <w:pPr>
        <w:jc w:val="both"/>
        <w:textAlignment w:val="baseline"/>
        <w:rPr>
          <w:rFonts w:ascii="Segoe UI" w:hAnsi="Segoe UI" w:cs="Segoe UI"/>
          <w:b/>
          <w:bCs/>
          <w:color w:val="425254"/>
          <w:sz w:val="18"/>
          <w:szCs w:val="18"/>
          <w:lang w:val="cs-CZ" w:eastAsia="cs-CZ"/>
        </w:rPr>
      </w:pPr>
      <w:r w:rsidRPr="004F5891">
        <w:rPr>
          <w:b/>
          <w:bCs/>
          <w:color w:val="425254"/>
          <w:lang w:val="en-GB" w:eastAsia="cs-CZ"/>
        </w:rPr>
        <w:t>Contacts:</w:t>
      </w:r>
      <w:r w:rsidRPr="004F5891">
        <w:rPr>
          <w:b/>
          <w:bCs/>
          <w:color w:val="425254"/>
          <w:lang w:val="cs-CZ" w:eastAsia="cs-C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4F5891" w:rsidRPr="004F5891" w14:paraId="36475FCD" w14:textId="77777777" w:rsidTr="004F5891">
        <w:tc>
          <w:tcPr>
            <w:tcW w:w="4530" w:type="dxa"/>
            <w:tcBorders>
              <w:top w:val="nil"/>
              <w:left w:val="nil"/>
              <w:bottom w:val="nil"/>
              <w:right w:val="nil"/>
            </w:tcBorders>
            <w:shd w:val="clear" w:color="auto" w:fill="auto"/>
            <w:hideMark/>
          </w:tcPr>
          <w:p w14:paraId="5F75661C" w14:textId="77777777" w:rsidR="004F5891" w:rsidRPr="004F5891" w:rsidRDefault="004F5891" w:rsidP="004F5891">
            <w:pPr>
              <w:jc w:val="both"/>
              <w:textAlignment w:val="baseline"/>
              <w:rPr>
                <w:lang w:val="cs-CZ" w:eastAsia="cs-CZ"/>
              </w:rPr>
            </w:pPr>
            <w:r w:rsidRPr="004F5891">
              <w:rPr>
                <w:b/>
                <w:bCs/>
                <w:color w:val="425254"/>
                <w:lang w:val="en-GB" w:eastAsia="cs-CZ"/>
              </w:rPr>
              <w:t xml:space="preserve">Crest Communications, </w:t>
            </w:r>
            <w:proofErr w:type="spellStart"/>
            <w:r w:rsidRPr="004F5891">
              <w:rPr>
                <w:b/>
                <w:bCs/>
                <w:color w:val="425254"/>
                <w:lang w:val="en-GB" w:eastAsia="cs-CZ"/>
              </w:rPr>
              <w:t>a.s.</w:t>
            </w:r>
            <w:proofErr w:type="spellEnd"/>
            <w:r w:rsidRPr="004F5891">
              <w:rPr>
                <w:color w:val="425254"/>
                <w:lang w:val="cs-CZ" w:eastAsia="cs-CZ"/>
              </w:rPr>
              <w:t> </w:t>
            </w:r>
          </w:p>
        </w:tc>
        <w:tc>
          <w:tcPr>
            <w:tcW w:w="4530" w:type="dxa"/>
            <w:tcBorders>
              <w:top w:val="nil"/>
              <w:left w:val="nil"/>
              <w:bottom w:val="nil"/>
              <w:right w:val="nil"/>
            </w:tcBorders>
            <w:shd w:val="clear" w:color="auto" w:fill="auto"/>
            <w:hideMark/>
          </w:tcPr>
          <w:p w14:paraId="35DB39DB" w14:textId="77777777" w:rsidR="004F5891" w:rsidRPr="004F5891" w:rsidRDefault="004F5891" w:rsidP="004F5891">
            <w:pPr>
              <w:jc w:val="both"/>
              <w:textAlignment w:val="baseline"/>
              <w:rPr>
                <w:lang w:val="cs-CZ" w:eastAsia="cs-CZ"/>
              </w:rPr>
            </w:pPr>
            <w:r w:rsidRPr="004F5891">
              <w:rPr>
                <w:lang w:val="cs-CZ" w:eastAsia="cs-CZ"/>
              </w:rPr>
              <w:t> </w:t>
            </w:r>
          </w:p>
        </w:tc>
      </w:tr>
      <w:tr w:rsidR="004F5891" w:rsidRPr="004F5891" w14:paraId="4A914C0B" w14:textId="77777777" w:rsidTr="004F5891">
        <w:tc>
          <w:tcPr>
            <w:tcW w:w="4530" w:type="dxa"/>
            <w:tcBorders>
              <w:top w:val="nil"/>
              <w:left w:val="nil"/>
              <w:bottom w:val="nil"/>
              <w:right w:val="nil"/>
            </w:tcBorders>
            <w:shd w:val="clear" w:color="auto" w:fill="auto"/>
            <w:hideMark/>
          </w:tcPr>
          <w:p w14:paraId="6B32FBC2" w14:textId="77777777" w:rsidR="004F5891" w:rsidRPr="004F5891" w:rsidRDefault="004F5891" w:rsidP="004F5891">
            <w:pPr>
              <w:jc w:val="both"/>
              <w:textAlignment w:val="baseline"/>
              <w:rPr>
                <w:lang w:val="cs-CZ" w:eastAsia="cs-CZ"/>
              </w:rPr>
            </w:pPr>
            <w:r w:rsidRPr="004F5891">
              <w:rPr>
                <w:color w:val="425254"/>
                <w:lang w:val="en-GB" w:eastAsia="cs-CZ"/>
              </w:rPr>
              <w:t>Denisa Kolaříková</w:t>
            </w:r>
            <w:r w:rsidRPr="004F5891">
              <w:rPr>
                <w:color w:val="425254"/>
                <w:lang w:val="cs-CZ" w:eastAsia="cs-CZ"/>
              </w:rPr>
              <w:t> </w:t>
            </w:r>
          </w:p>
        </w:tc>
        <w:tc>
          <w:tcPr>
            <w:tcW w:w="4530" w:type="dxa"/>
            <w:tcBorders>
              <w:top w:val="nil"/>
              <w:left w:val="nil"/>
              <w:bottom w:val="nil"/>
              <w:right w:val="nil"/>
            </w:tcBorders>
            <w:shd w:val="clear" w:color="auto" w:fill="auto"/>
            <w:hideMark/>
          </w:tcPr>
          <w:p w14:paraId="1DF13BD6" w14:textId="77777777" w:rsidR="004F5891" w:rsidRPr="004F5891" w:rsidRDefault="004F5891" w:rsidP="004F5891">
            <w:pPr>
              <w:jc w:val="both"/>
              <w:textAlignment w:val="baseline"/>
              <w:rPr>
                <w:lang w:val="cs-CZ" w:eastAsia="cs-CZ"/>
              </w:rPr>
            </w:pPr>
            <w:r w:rsidRPr="004F5891">
              <w:rPr>
                <w:color w:val="425254"/>
                <w:lang w:val="en-GB" w:eastAsia="cs-CZ"/>
              </w:rPr>
              <w:t>Kamila Čadková</w:t>
            </w:r>
            <w:r w:rsidRPr="004F5891">
              <w:rPr>
                <w:color w:val="425254"/>
                <w:lang w:val="cs-CZ" w:eastAsia="cs-CZ"/>
              </w:rPr>
              <w:t> </w:t>
            </w:r>
          </w:p>
        </w:tc>
      </w:tr>
      <w:tr w:rsidR="004F5891" w:rsidRPr="004F5891" w14:paraId="7EC2A12C" w14:textId="77777777" w:rsidTr="004F5891">
        <w:tc>
          <w:tcPr>
            <w:tcW w:w="4530" w:type="dxa"/>
            <w:tcBorders>
              <w:top w:val="nil"/>
              <w:left w:val="nil"/>
              <w:bottom w:val="nil"/>
              <w:right w:val="nil"/>
            </w:tcBorders>
            <w:shd w:val="clear" w:color="auto" w:fill="auto"/>
            <w:hideMark/>
          </w:tcPr>
          <w:p w14:paraId="431F30E4" w14:textId="77777777" w:rsidR="004F5891" w:rsidRPr="004F5891" w:rsidRDefault="004F5891" w:rsidP="004F5891">
            <w:pPr>
              <w:jc w:val="both"/>
              <w:textAlignment w:val="baseline"/>
              <w:rPr>
                <w:lang w:val="cs-CZ" w:eastAsia="cs-CZ"/>
              </w:rPr>
            </w:pPr>
            <w:r w:rsidRPr="004F5891">
              <w:rPr>
                <w:color w:val="425254"/>
                <w:lang w:val="en-GB" w:eastAsia="cs-CZ"/>
              </w:rPr>
              <w:t>Account Manager</w:t>
            </w:r>
            <w:r w:rsidRPr="004F5891">
              <w:rPr>
                <w:color w:val="425254"/>
                <w:lang w:val="cs-CZ" w:eastAsia="cs-CZ"/>
              </w:rPr>
              <w:t> </w:t>
            </w:r>
          </w:p>
        </w:tc>
        <w:tc>
          <w:tcPr>
            <w:tcW w:w="4530" w:type="dxa"/>
            <w:tcBorders>
              <w:top w:val="nil"/>
              <w:left w:val="nil"/>
              <w:bottom w:val="nil"/>
              <w:right w:val="nil"/>
            </w:tcBorders>
            <w:shd w:val="clear" w:color="auto" w:fill="auto"/>
            <w:hideMark/>
          </w:tcPr>
          <w:p w14:paraId="1EA36E13" w14:textId="77777777" w:rsidR="004F5891" w:rsidRPr="004F5891" w:rsidRDefault="004F5891" w:rsidP="004F5891">
            <w:pPr>
              <w:jc w:val="both"/>
              <w:textAlignment w:val="baseline"/>
              <w:rPr>
                <w:lang w:val="cs-CZ" w:eastAsia="cs-CZ"/>
              </w:rPr>
            </w:pPr>
            <w:r w:rsidRPr="004F5891">
              <w:rPr>
                <w:color w:val="425254"/>
                <w:lang w:val="en-GB" w:eastAsia="cs-CZ"/>
              </w:rPr>
              <w:t>Account Director</w:t>
            </w:r>
            <w:r w:rsidRPr="004F5891">
              <w:rPr>
                <w:color w:val="425254"/>
                <w:lang w:val="cs-CZ" w:eastAsia="cs-CZ"/>
              </w:rPr>
              <w:t> </w:t>
            </w:r>
          </w:p>
        </w:tc>
      </w:tr>
      <w:tr w:rsidR="004F5891" w:rsidRPr="004F5891" w14:paraId="135032B5" w14:textId="77777777" w:rsidTr="004F5891">
        <w:tc>
          <w:tcPr>
            <w:tcW w:w="4530" w:type="dxa"/>
            <w:tcBorders>
              <w:top w:val="nil"/>
              <w:left w:val="nil"/>
              <w:bottom w:val="nil"/>
              <w:right w:val="nil"/>
            </w:tcBorders>
            <w:shd w:val="clear" w:color="auto" w:fill="auto"/>
            <w:hideMark/>
          </w:tcPr>
          <w:p w14:paraId="0BADFFC3" w14:textId="77777777" w:rsidR="004F5891" w:rsidRPr="004F5891" w:rsidRDefault="004F5891" w:rsidP="004F5891">
            <w:pPr>
              <w:jc w:val="both"/>
              <w:textAlignment w:val="baseline"/>
              <w:rPr>
                <w:lang w:val="cs-CZ" w:eastAsia="cs-CZ"/>
              </w:rPr>
            </w:pPr>
            <w:r w:rsidRPr="004F5891">
              <w:rPr>
                <w:color w:val="425254"/>
                <w:lang w:val="en-GB" w:eastAsia="cs-CZ"/>
              </w:rPr>
              <w:t>T: +420 731 613 606</w:t>
            </w:r>
            <w:r w:rsidRPr="004F5891">
              <w:rPr>
                <w:color w:val="425254"/>
                <w:lang w:val="cs-CZ" w:eastAsia="cs-CZ"/>
              </w:rPr>
              <w:t> </w:t>
            </w:r>
          </w:p>
        </w:tc>
        <w:tc>
          <w:tcPr>
            <w:tcW w:w="4530" w:type="dxa"/>
            <w:tcBorders>
              <w:top w:val="nil"/>
              <w:left w:val="nil"/>
              <w:bottom w:val="nil"/>
              <w:right w:val="nil"/>
            </w:tcBorders>
            <w:shd w:val="clear" w:color="auto" w:fill="auto"/>
            <w:hideMark/>
          </w:tcPr>
          <w:p w14:paraId="2D39892C" w14:textId="77777777" w:rsidR="004F5891" w:rsidRPr="004F5891" w:rsidRDefault="004F5891" w:rsidP="004F5891">
            <w:pPr>
              <w:jc w:val="both"/>
              <w:textAlignment w:val="baseline"/>
              <w:rPr>
                <w:lang w:val="cs-CZ" w:eastAsia="cs-CZ"/>
              </w:rPr>
            </w:pPr>
            <w:r w:rsidRPr="004F5891">
              <w:rPr>
                <w:color w:val="425254"/>
                <w:lang w:val="en-GB" w:eastAsia="cs-CZ"/>
              </w:rPr>
              <w:t>T: +420 731 613 609</w:t>
            </w:r>
            <w:r w:rsidRPr="004F5891">
              <w:rPr>
                <w:color w:val="425254"/>
                <w:lang w:val="cs-CZ" w:eastAsia="cs-CZ"/>
              </w:rPr>
              <w:t> </w:t>
            </w:r>
          </w:p>
        </w:tc>
      </w:tr>
      <w:tr w:rsidR="004F5891" w:rsidRPr="00F25B5F" w14:paraId="4016EA92" w14:textId="77777777" w:rsidTr="004F5891">
        <w:trPr>
          <w:trHeight w:val="75"/>
        </w:trPr>
        <w:tc>
          <w:tcPr>
            <w:tcW w:w="4530" w:type="dxa"/>
            <w:tcBorders>
              <w:top w:val="nil"/>
              <w:left w:val="nil"/>
              <w:bottom w:val="nil"/>
              <w:right w:val="nil"/>
            </w:tcBorders>
            <w:shd w:val="clear" w:color="auto" w:fill="auto"/>
            <w:hideMark/>
          </w:tcPr>
          <w:p w14:paraId="06B5F571" w14:textId="77777777" w:rsidR="004F5891" w:rsidRPr="004F5891" w:rsidRDefault="004F5891" w:rsidP="004F5891">
            <w:pPr>
              <w:jc w:val="both"/>
              <w:textAlignment w:val="baseline"/>
              <w:rPr>
                <w:lang w:val="cs-CZ" w:eastAsia="cs-CZ"/>
              </w:rPr>
            </w:pPr>
            <w:proofErr w:type="gramStart"/>
            <w:r w:rsidRPr="00F25B5F">
              <w:rPr>
                <w:color w:val="425254"/>
                <w:lang w:val="fr-FR" w:eastAsia="cs-CZ"/>
              </w:rPr>
              <w:t>e-mail:</w:t>
            </w:r>
            <w:proofErr w:type="gramEnd"/>
            <w:r w:rsidRPr="00F25B5F">
              <w:rPr>
                <w:color w:val="425254"/>
                <w:lang w:val="fr-FR" w:eastAsia="cs-CZ"/>
              </w:rPr>
              <w:t xml:space="preserve"> </w:t>
            </w:r>
            <w:hyperlink r:id="rId8" w:tgtFrame="_blank" w:history="1">
              <w:r w:rsidRPr="00F25B5F">
                <w:rPr>
                  <w:color w:val="80BBAD"/>
                  <w:u w:val="single"/>
                  <w:lang w:val="fr-FR" w:eastAsia="cs-CZ"/>
                </w:rPr>
                <w:t>denisa.kolarikova@crestcom.cz</w:t>
              </w:r>
            </w:hyperlink>
            <w:r w:rsidRPr="004F5891">
              <w:rPr>
                <w:lang w:val="cs-CZ" w:eastAsia="cs-CZ"/>
              </w:rPr>
              <w:t> </w:t>
            </w:r>
          </w:p>
        </w:tc>
        <w:tc>
          <w:tcPr>
            <w:tcW w:w="4530" w:type="dxa"/>
            <w:tcBorders>
              <w:top w:val="nil"/>
              <w:left w:val="nil"/>
              <w:bottom w:val="nil"/>
              <w:right w:val="nil"/>
            </w:tcBorders>
            <w:shd w:val="clear" w:color="auto" w:fill="auto"/>
            <w:hideMark/>
          </w:tcPr>
          <w:p w14:paraId="0D959F8F" w14:textId="77777777" w:rsidR="004F5891" w:rsidRPr="004F5891" w:rsidRDefault="004F5891" w:rsidP="004F5891">
            <w:pPr>
              <w:jc w:val="both"/>
              <w:textAlignment w:val="baseline"/>
              <w:rPr>
                <w:lang w:val="cs-CZ" w:eastAsia="cs-CZ"/>
              </w:rPr>
            </w:pPr>
            <w:proofErr w:type="gramStart"/>
            <w:r w:rsidRPr="00F25B5F">
              <w:rPr>
                <w:color w:val="425254"/>
                <w:lang w:val="fr-FR" w:eastAsia="cs-CZ"/>
              </w:rPr>
              <w:t>e-mail:</w:t>
            </w:r>
            <w:proofErr w:type="gramEnd"/>
            <w:r w:rsidRPr="00F25B5F">
              <w:rPr>
                <w:color w:val="425254"/>
                <w:lang w:val="fr-FR" w:eastAsia="cs-CZ"/>
              </w:rPr>
              <w:t xml:space="preserve"> </w:t>
            </w:r>
            <w:hyperlink r:id="rId9" w:tgtFrame="_blank" w:history="1">
              <w:r w:rsidRPr="00F25B5F">
                <w:rPr>
                  <w:color w:val="80BBAD"/>
                  <w:u w:val="single"/>
                  <w:lang w:val="fr-FR" w:eastAsia="cs-CZ"/>
                </w:rPr>
                <w:t>kamila.cadkova@crestcom.cz</w:t>
              </w:r>
            </w:hyperlink>
            <w:r w:rsidRPr="004F5891">
              <w:rPr>
                <w:lang w:val="cs-CZ" w:eastAsia="cs-CZ"/>
              </w:rPr>
              <w:t> </w:t>
            </w:r>
          </w:p>
        </w:tc>
      </w:tr>
      <w:tr w:rsidR="004F5891" w:rsidRPr="004F5891" w14:paraId="695D8A5B" w14:textId="77777777" w:rsidTr="004F5891">
        <w:tc>
          <w:tcPr>
            <w:tcW w:w="4530" w:type="dxa"/>
            <w:tcBorders>
              <w:top w:val="nil"/>
              <w:left w:val="nil"/>
              <w:bottom w:val="nil"/>
              <w:right w:val="nil"/>
            </w:tcBorders>
            <w:shd w:val="clear" w:color="auto" w:fill="auto"/>
            <w:hideMark/>
          </w:tcPr>
          <w:p w14:paraId="4A31B0AA" w14:textId="77777777" w:rsidR="004F5891" w:rsidRPr="004F5891" w:rsidRDefault="00000000" w:rsidP="004F5891">
            <w:pPr>
              <w:jc w:val="both"/>
              <w:textAlignment w:val="baseline"/>
              <w:rPr>
                <w:lang w:val="cs-CZ" w:eastAsia="cs-CZ"/>
              </w:rPr>
            </w:pPr>
            <w:hyperlink r:id="rId10" w:tgtFrame="_blank" w:history="1">
              <w:r w:rsidR="004F5891" w:rsidRPr="004F5891">
                <w:rPr>
                  <w:color w:val="80BBAD"/>
                  <w:u w:val="single"/>
                  <w:lang w:val="en-GB" w:eastAsia="cs-CZ"/>
                </w:rPr>
                <w:t>www.crestcom.cz</w:t>
              </w:r>
            </w:hyperlink>
            <w:r w:rsidR="004F5891" w:rsidRPr="004F5891">
              <w:rPr>
                <w:color w:val="425254"/>
                <w:lang w:val="cs-CZ" w:eastAsia="cs-CZ"/>
              </w:rPr>
              <w:t> </w:t>
            </w:r>
          </w:p>
        </w:tc>
        <w:tc>
          <w:tcPr>
            <w:tcW w:w="4530" w:type="dxa"/>
            <w:tcBorders>
              <w:top w:val="nil"/>
              <w:left w:val="nil"/>
              <w:bottom w:val="nil"/>
              <w:right w:val="nil"/>
            </w:tcBorders>
            <w:shd w:val="clear" w:color="auto" w:fill="auto"/>
            <w:hideMark/>
          </w:tcPr>
          <w:p w14:paraId="6F534A7D" w14:textId="77777777" w:rsidR="004F5891" w:rsidRPr="004F5891" w:rsidRDefault="004F5891" w:rsidP="004F5891">
            <w:pPr>
              <w:jc w:val="both"/>
              <w:textAlignment w:val="baseline"/>
              <w:rPr>
                <w:lang w:val="cs-CZ" w:eastAsia="cs-CZ"/>
              </w:rPr>
            </w:pPr>
            <w:r w:rsidRPr="004F5891">
              <w:rPr>
                <w:lang w:val="cs-CZ" w:eastAsia="cs-CZ"/>
              </w:rPr>
              <w:t> </w:t>
            </w:r>
          </w:p>
        </w:tc>
      </w:tr>
    </w:tbl>
    <w:p w14:paraId="4491A318" w14:textId="77777777" w:rsidR="004F5891" w:rsidRPr="004F5891" w:rsidRDefault="004F5891" w:rsidP="004F5891">
      <w:pPr>
        <w:jc w:val="both"/>
        <w:textAlignment w:val="baseline"/>
        <w:rPr>
          <w:rFonts w:ascii="Segoe UI" w:hAnsi="Segoe UI" w:cs="Segoe UI"/>
          <w:b/>
          <w:bCs/>
          <w:color w:val="425254"/>
          <w:sz w:val="18"/>
          <w:szCs w:val="18"/>
          <w:lang w:val="cs-CZ" w:eastAsia="cs-CZ"/>
        </w:rPr>
      </w:pPr>
      <w:r w:rsidRPr="004F5891">
        <w:rPr>
          <w:b/>
          <w:bCs/>
          <w:color w:val="425254"/>
          <w:lang w:val="cs-CZ" w:eastAsia="cs-CZ"/>
        </w:rPr>
        <w:t> </w:t>
      </w:r>
    </w:p>
    <w:p w14:paraId="222AA7FD" w14:textId="77777777" w:rsidR="004F5891" w:rsidRPr="004F5891" w:rsidRDefault="004F5891" w:rsidP="004F5891">
      <w:pPr>
        <w:jc w:val="both"/>
        <w:textAlignment w:val="baseline"/>
        <w:rPr>
          <w:rFonts w:ascii="Segoe UI" w:hAnsi="Segoe UI" w:cs="Segoe UI"/>
          <w:b/>
          <w:bCs/>
          <w:color w:val="425254"/>
          <w:sz w:val="18"/>
          <w:szCs w:val="18"/>
          <w:lang w:val="cs-CZ" w:eastAsia="cs-CZ"/>
        </w:rPr>
      </w:pPr>
      <w:r w:rsidRPr="004F5891">
        <w:rPr>
          <w:b/>
          <w:bCs/>
          <w:color w:val="425254"/>
          <w:lang w:val="en-GB" w:eastAsia="cs-CZ"/>
        </w:rPr>
        <w:t>CBRE</w:t>
      </w:r>
      <w:r w:rsidRPr="004F5891">
        <w:rPr>
          <w:b/>
          <w:bCs/>
          <w:color w:val="425254"/>
          <w:lang w:val="cs-CZ" w:eastAsia="cs-CZ"/>
        </w:rPr>
        <w:t> </w:t>
      </w:r>
    </w:p>
    <w:p w14:paraId="5AA5CA41" w14:textId="77777777" w:rsidR="004F5891" w:rsidRPr="004F5891" w:rsidRDefault="004F5891" w:rsidP="004F5891">
      <w:pPr>
        <w:jc w:val="both"/>
        <w:textAlignment w:val="baseline"/>
        <w:rPr>
          <w:color w:val="425254"/>
          <w:lang w:val="cs-CZ" w:eastAsia="cs-CZ"/>
        </w:rPr>
      </w:pPr>
      <w:r w:rsidRPr="00F25B5F">
        <w:rPr>
          <w:color w:val="425254"/>
          <w:lang w:val="fr-FR" w:eastAsia="cs-CZ"/>
        </w:rPr>
        <w:t xml:space="preserve">Renata Mrázová, Communication Manager, +420 604 308 765, </w:t>
      </w:r>
      <w:hyperlink r:id="rId11" w:tgtFrame="_blank" w:history="1">
        <w:r w:rsidRPr="00F25B5F">
          <w:rPr>
            <w:rStyle w:val="Hypertextovodkaz"/>
            <w:lang w:val="fr-FR" w:eastAsia="cs-CZ"/>
          </w:rPr>
          <w:t>renata.mrazova@cbre.com</w:t>
        </w:r>
      </w:hyperlink>
      <w:r w:rsidRPr="00F25B5F">
        <w:rPr>
          <w:color w:val="425254"/>
          <w:lang w:val="fr-FR" w:eastAsia="cs-CZ"/>
        </w:rPr>
        <w:t> </w:t>
      </w:r>
      <w:r w:rsidRPr="004F5891">
        <w:rPr>
          <w:b/>
          <w:bCs/>
          <w:color w:val="425254"/>
          <w:lang w:val="cs-CZ" w:eastAsia="cs-CZ"/>
        </w:rPr>
        <w:t> </w:t>
      </w:r>
      <w:r w:rsidRPr="004F5891">
        <w:rPr>
          <w:color w:val="425254"/>
          <w:lang w:val="cs-CZ" w:eastAsia="cs-CZ"/>
        </w:rPr>
        <w:t> </w:t>
      </w:r>
    </w:p>
    <w:p w14:paraId="254D04D8" w14:textId="77777777" w:rsidR="004F5891" w:rsidRPr="004F5891" w:rsidRDefault="004F5891" w:rsidP="004F5891">
      <w:pPr>
        <w:jc w:val="both"/>
        <w:textAlignment w:val="baseline"/>
        <w:rPr>
          <w:color w:val="425254"/>
          <w:lang w:val="cs-CZ" w:eastAsia="cs-CZ"/>
        </w:rPr>
      </w:pPr>
      <w:r w:rsidRPr="004F5891">
        <w:rPr>
          <w:color w:val="425254"/>
          <w:lang w:val="cs-CZ" w:eastAsia="cs-CZ"/>
        </w:rPr>
        <w:t>CBRE Česká republika </w:t>
      </w:r>
      <w:hyperlink r:id="rId12" w:tgtFrame="_blank" w:history="1">
        <w:r w:rsidRPr="004F5891">
          <w:rPr>
            <w:rStyle w:val="Hypertextovodkaz"/>
            <w:lang w:val="cs-CZ" w:eastAsia="cs-CZ"/>
          </w:rPr>
          <w:t>Facebook</w:t>
        </w:r>
      </w:hyperlink>
      <w:r w:rsidRPr="004F5891">
        <w:rPr>
          <w:color w:val="425254"/>
          <w:lang w:val="cs-CZ" w:eastAsia="cs-CZ"/>
        </w:rPr>
        <w:t xml:space="preserve">, </w:t>
      </w:r>
      <w:hyperlink r:id="rId13" w:tgtFrame="_blank" w:history="1">
        <w:r w:rsidRPr="004F5891">
          <w:rPr>
            <w:rStyle w:val="Hypertextovodkaz"/>
            <w:lang w:val="cs-CZ" w:eastAsia="cs-CZ"/>
          </w:rPr>
          <w:t>LinkedIn</w:t>
        </w:r>
      </w:hyperlink>
      <w:r w:rsidRPr="004F5891">
        <w:rPr>
          <w:color w:val="425254"/>
          <w:lang w:val="cs-CZ" w:eastAsia="cs-CZ"/>
        </w:rPr>
        <w:t xml:space="preserve">, </w:t>
      </w:r>
      <w:hyperlink r:id="rId14" w:tgtFrame="_blank" w:history="1">
        <w:r w:rsidRPr="004F5891">
          <w:rPr>
            <w:rStyle w:val="Hypertextovodkaz"/>
            <w:lang w:val="cs-CZ" w:eastAsia="cs-CZ"/>
          </w:rPr>
          <w:t>Instagram</w:t>
        </w:r>
      </w:hyperlink>
      <w:r w:rsidRPr="004F5891">
        <w:rPr>
          <w:b/>
          <w:bCs/>
          <w:color w:val="425254"/>
          <w:lang w:val="cs-CZ" w:eastAsia="cs-CZ"/>
        </w:rPr>
        <w:t> </w:t>
      </w:r>
      <w:r w:rsidRPr="004F5891">
        <w:rPr>
          <w:color w:val="425254"/>
          <w:lang w:val="cs-CZ" w:eastAsia="cs-CZ"/>
        </w:rPr>
        <w:t> </w:t>
      </w:r>
    </w:p>
    <w:p w14:paraId="0514AF24" w14:textId="77777777" w:rsidR="004F5891" w:rsidRPr="004F5891" w:rsidRDefault="004F5891" w:rsidP="004F5891">
      <w:pPr>
        <w:jc w:val="both"/>
        <w:textAlignment w:val="baseline"/>
        <w:rPr>
          <w:rFonts w:ascii="Segoe UI" w:hAnsi="Segoe UI" w:cs="Segoe UI"/>
          <w:color w:val="425254"/>
          <w:sz w:val="18"/>
          <w:szCs w:val="18"/>
          <w:lang w:val="cs-CZ" w:eastAsia="cs-CZ"/>
        </w:rPr>
      </w:pPr>
      <w:r w:rsidRPr="004F5891">
        <w:rPr>
          <w:color w:val="425254"/>
          <w:lang w:val="cs-CZ" w:eastAsia="cs-CZ"/>
        </w:rPr>
        <w:t> </w:t>
      </w:r>
    </w:p>
    <w:p w14:paraId="058F9AB3" w14:textId="6A5FCF2C" w:rsidR="004F5891" w:rsidRPr="004F5891" w:rsidRDefault="004F5891" w:rsidP="004F5891">
      <w:pPr>
        <w:jc w:val="both"/>
        <w:textAlignment w:val="baseline"/>
        <w:rPr>
          <w:rFonts w:ascii="Segoe UI" w:hAnsi="Segoe UI" w:cs="Segoe UI"/>
          <w:color w:val="7F8481"/>
          <w:sz w:val="18"/>
          <w:szCs w:val="18"/>
          <w:lang w:val="cs-CZ" w:eastAsia="cs-CZ"/>
        </w:rPr>
      </w:pPr>
      <w:r>
        <w:rPr>
          <w:rFonts w:ascii="Calibre" w:hAnsi="Calibre" w:cs="Segoe UI"/>
          <w:color w:val="7F8481"/>
          <w:sz w:val="21"/>
          <w:szCs w:val="21"/>
          <w:u w:val="single"/>
          <w:lang w:val="en-GB" w:eastAsia="cs-CZ"/>
        </w:rPr>
        <w:t>ABOUT CBRE</w:t>
      </w:r>
    </w:p>
    <w:p w14:paraId="2139B490" w14:textId="6B31CB31" w:rsidR="00D37D4B" w:rsidRPr="00F25B5F" w:rsidRDefault="004F5891" w:rsidP="00F25B5F">
      <w:pPr>
        <w:jc w:val="both"/>
        <w:textAlignment w:val="baseline"/>
        <w:rPr>
          <w:rFonts w:ascii="Segoe UI" w:hAnsi="Segoe UI" w:cs="Segoe UI"/>
          <w:color w:val="7F8481"/>
          <w:sz w:val="18"/>
          <w:szCs w:val="18"/>
          <w:lang w:val="cs-CZ" w:eastAsia="cs-CZ"/>
        </w:rPr>
      </w:pPr>
      <w:r w:rsidRPr="004F5891">
        <w:rPr>
          <w:rFonts w:ascii="Calibre" w:hAnsi="Calibre" w:cs="Segoe UI"/>
          <w:color w:val="7F8481"/>
          <w:sz w:val="21"/>
          <w:szCs w:val="21"/>
          <w:lang w:val="en-GB" w:eastAsia="cs-CZ"/>
        </w:rPr>
        <w:t>CBRE Group, a Fortune 500 and S&amp;P 500 company headquartered in Los Angeles, is the world’s largest commercial real estate services and investment firm (based on 2021 revenue). With</w:t>
      </w:r>
      <w:r w:rsidRPr="004F5891">
        <w:rPr>
          <w:rFonts w:ascii="Arial" w:hAnsi="Arial" w:cs="Arial"/>
          <w:color w:val="7F8481"/>
          <w:sz w:val="21"/>
          <w:szCs w:val="21"/>
          <w:lang w:val="en-GB" w:eastAsia="cs-CZ"/>
        </w:rPr>
        <w:t> </w:t>
      </w:r>
      <w:r w:rsidRPr="004F5891">
        <w:rPr>
          <w:rFonts w:ascii="Calibre" w:hAnsi="Calibre" w:cs="Segoe UI"/>
          <w:color w:val="7F8481"/>
          <w:sz w:val="21"/>
          <w:szCs w:val="21"/>
          <w:lang w:val="en-GB" w:eastAsia="cs-CZ"/>
        </w:rPr>
        <w:t xml:space="preserve">more than 100 000 employees, it provides services to property owners, investors and occupiers in more than 100 countries around the world. CBRE offers a broad range of integrated services, from facility management and maintenance, commercial transactions, project management and investment management to appraisals and valuation, property leasing and sales, strategic consulting, mortgage services </w:t>
      </w:r>
      <w:r w:rsidRPr="004F5891">
        <w:rPr>
          <w:rFonts w:ascii="Calibre" w:hAnsi="Calibre" w:cs="Segoe UI"/>
          <w:color w:val="7F8481"/>
          <w:sz w:val="21"/>
          <w:szCs w:val="21"/>
          <w:lang w:val="en-GB" w:eastAsia="cs-CZ"/>
        </w:rPr>
        <w:lastRenderedPageBreak/>
        <w:t>and development services. With almost 350</w:t>
      </w:r>
      <w:r w:rsidRPr="004F5891">
        <w:rPr>
          <w:rFonts w:ascii="Arial" w:hAnsi="Arial" w:cs="Arial"/>
          <w:color w:val="7F8481"/>
          <w:sz w:val="21"/>
          <w:szCs w:val="21"/>
          <w:lang w:val="en-GB" w:eastAsia="cs-CZ"/>
        </w:rPr>
        <w:t> </w:t>
      </w:r>
      <w:r w:rsidRPr="004F5891">
        <w:rPr>
          <w:rFonts w:ascii="Calibre" w:hAnsi="Calibre" w:cs="Segoe UI"/>
          <w:color w:val="7F8481"/>
          <w:sz w:val="21"/>
          <w:szCs w:val="21"/>
          <w:lang w:val="en-GB" w:eastAsia="cs-CZ"/>
        </w:rPr>
        <w:t>employees, CBRE Czech Republic manages almost 75 commercial buildings with a total area of nearly 1.2</w:t>
      </w:r>
      <w:r w:rsidRPr="004F5891">
        <w:rPr>
          <w:rFonts w:ascii="Arial" w:hAnsi="Arial" w:cs="Arial"/>
          <w:color w:val="7F8481"/>
          <w:sz w:val="21"/>
          <w:szCs w:val="21"/>
          <w:lang w:val="en-GB" w:eastAsia="cs-CZ"/>
        </w:rPr>
        <w:t> </w:t>
      </w:r>
      <w:r w:rsidRPr="004F5891">
        <w:rPr>
          <w:rFonts w:ascii="Calibre" w:hAnsi="Calibre" w:cs="Segoe UI"/>
          <w:color w:val="7F8481"/>
          <w:sz w:val="21"/>
          <w:szCs w:val="21"/>
          <w:lang w:val="en-GB" w:eastAsia="cs-CZ"/>
        </w:rPr>
        <w:t>million</w:t>
      </w:r>
      <w:r w:rsidRPr="004F5891">
        <w:rPr>
          <w:rFonts w:ascii="Arial" w:hAnsi="Arial" w:cs="Arial"/>
          <w:color w:val="7F8481"/>
          <w:sz w:val="21"/>
          <w:szCs w:val="21"/>
          <w:lang w:val="en-GB" w:eastAsia="cs-CZ"/>
        </w:rPr>
        <w:t> </w:t>
      </w:r>
      <w:r w:rsidRPr="004F5891">
        <w:rPr>
          <w:rFonts w:ascii="Calibre" w:hAnsi="Calibre" w:cs="Segoe UI"/>
          <w:color w:val="7F8481"/>
          <w:sz w:val="21"/>
          <w:szCs w:val="21"/>
          <w:lang w:val="en-GB" w:eastAsia="cs-CZ"/>
        </w:rPr>
        <w:t>m</w:t>
      </w:r>
      <w:r w:rsidRPr="004F5891">
        <w:rPr>
          <w:rFonts w:ascii="Calibre" w:hAnsi="Calibre" w:cs="Segoe UI"/>
          <w:color w:val="7F8481"/>
          <w:sz w:val="21"/>
          <w:szCs w:val="21"/>
          <w:vertAlign w:val="superscript"/>
          <w:lang w:val="en-GB" w:eastAsia="cs-CZ"/>
        </w:rPr>
        <w:t>2</w:t>
      </w:r>
      <w:r w:rsidRPr="004F5891">
        <w:rPr>
          <w:rFonts w:ascii="Calibre" w:hAnsi="Calibre" w:cs="Segoe UI"/>
          <w:color w:val="7F8481"/>
          <w:sz w:val="21"/>
          <w:szCs w:val="21"/>
          <w:lang w:val="en-GB" w:eastAsia="cs-CZ"/>
        </w:rPr>
        <w:t>. For more information, visit the company</w:t>
      </w:r>
      <w:r w:rsidRPr="004F5891">
        <w:rPr>
          <w:rFonts w:ascii="Corbel" w:hAnsi="Corbel" w:cs="Corbel"/>
          <w:color w:val="7F8481"/>
          <w:sz w:val="21"/>
          <w:szCs w:val="21"/>
          <w:lang w:val="en-GB" w:eastAsia="cs-CZ"/>
        </w:rPr>
        <w:t>’</w:t>
      </w:r>
      <w:r w:rsidRPr="004F5891">
        <w:rPr>
          <w:rFonts w:ascii="Calibre" w:hAnsi="Calibre" w:cs="Segoe UI"/>
          <w:color w:val="7F8481"/>
          <w:sz w:val="21"/>
          <w:szCs w:val="21"/>
          <w:lang w:val="en-GB" w:eastAsia="cs-CZ"/>
        </w:rPr>
        <w:t xml:space="preserve">s website at </w:t>
      </w:r>
      <w:hyperlink r:id="rId15" w:tgtFrame="_blank" w:history="1">
        <w:r w:rsidRPr="004F5891">
          <w:rPr>
            <w:rFonts w:ascii="Calibre" w:hAnsi="Calibre" w:cs="Segoe UI"/>
            <w:color w:val="80BBAD"/>
            <w:sz w:val="21"/>
            <w:szCs w:val="21"/>
            <w:u w:val="single"/>
            <w:lang w:val="en-GB" w:eastAsia="cs-CZ"/>
          </w:rPr>
          <w:t>www.cbre.cz</w:t>
        </w:r>
      </w:hyperlink>
      <w:r w:rsidRPr="004F5891">
        <w:rPr>
          <w:rFonts w:ascii="Calibre" w:hAnsi="Calibre" w:cs="Segoe UI"/>
          <w:color w:val="7F8481"/>
          <w:sz w:val="21"/>
          <w:szCs w:val="21"/>
          <w:lang w:val="en-GB" w:eastAsia="cs-CZ"/>
        </w:rPr>
        <w:t>.</w:t>
      </w:r>
      <w:r w:rsidRPr="004F5891">
        <w:rPr>
          <w:rFonts w:ascii="Calibre" w:hAnsi="Calibre" w:cs="Segoe UI"/>
          <w:color w:val="7F8481"/>
          <w:sz w:val="21"/>
          <w:szCs w:val="21"/>
          <w:lang w:val="cs-CZ" w:eastAsia="cs-CZ"/>
        </w:rPr>
        <w:t> </w:t>
      </w:r>
    </w:p>
    <w:sectPr w:rsidR="00D37D4B" w:rsidRPr="00F25B5F" w:rsidSect="00E01C37">
      <w:headerReference w:type="default" r:id="rId16"/>
      <w:headerReference w:type="first" r:id="rId17"/>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5553" w14:textId="77777777" w:rsidR="00391CB7" w:rsidRDefault="00391CB7" w:rsidP="00C63036">
      <w:r>
        <w:separator/>
      </w:r>
    </w:p>
  </w:endnote>
  <w:endnote w:type="continuationSeparator" w:id="0">
    <w:p w14:paraId="13B88227" w14:textId="77777777" w:rsidR="00391CB7" w:rsidRDefault="00391CB7" w:rsidP="00C6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B"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317E" w14:textId="77777777" w:rsidR="00391CB7" w:rsidRDefault="00391CB7" w:rsidP="00C63036">
      <w:r>
        <w:separator/>
      </w:r>
    </w:p>
  </w:footnote>
  <w:footnote w:type="continuationSeparator" w:id="0">
    <w:p w14:paraId="6E9BAE06" w14:textId="77777777" w:rsidR="00391CB7" w:rsidRDefault="00391CB7" w:rsidP="00C6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9633" w14:textId="7A04A006" w:rsidR="00E30CD4" w:rsidRPr="006F397C" w:rsidRDefault="00E30CD4" w:rsidP="0094537E">
    <w:pPr>
      <w:pStyle w:val="Zhlav"/>
      <w:jc w:val="right"/>
      <w:rPr>
        <w:lang w:val="cs-CZ"/>
      </w:rPr>
    </w:pPr>
    <w:r w:rsidRPr="006F397C">
      <w:rPr>
        <w:rFonts w:ascii="Calibre" w:hAnsi="Calibre"/>
        <w:color w:val="003D30" w:themeColor="accent6"/>
        <w:sz w:val="16"/>
        <w:lang w:val="cs-CZ"/>
      </w:rPr>
      <w:t xml:space="preserve">CBRE </w:t>
    </w:r>
    <w:r w:rsidR="0081551A">
      <w:rPr>
        <w:rFonts w:ascii="Calibre" w:hAnsi="Calibre"/>
        <w:color w:val="003D30" w:themeColor="accent6"/>
        <w:sz w:val="16"/>
        <w:lang w:val="cs-CZ"/>
      </w:rPr>
      <w:t xml:space="preserve">Press </w:t>
    </w:r>
    <w:proofErr w:type="spellStart"/>
    <w:r w:rsidR="0081551A">
      <w:rPr>
        <w:rFonts w:ascii="Calibre" w:hAnsi="Calibre"/>
        <w:color w:val="003D30" w:themeColor="accent6"/>
        <w:sz w:val="16"/>
        <w:lang w:val="cs-CZ"/>
      </w:rPr>
      <w:t>Release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2A33" w14:textId="77777777" w:rsidR="00E30CD4" w:rsidRDefault="00E30CD4">
    <w:pPr>
      <w:pStyle w:val="Zhlav"/>
    </w:pPr>
    <w:r w:rsidRPr="00F51DB7">
      <w:rPr>
        <w:noProof/>
        <w:lang w:val="cs-CZ" w:eastAsia="cs-CZ"/>
      </w:rPr>
      <mc:AlternateContent>
        <mc:Choice Requires="wps">
          <w:drawing>
            <wp:anchor distT="0" distB="0" distL="114300" distR="114300" simplePos="0" relativeHeight="251660288"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3E9D95A">
            <v:line id="Straight Connector 4"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05EA6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">
              <v:stroke joinstyle="miter"/>
              <w10:wrap anchorx="margin"/>
            </v:line>
          </w:pict>
        </mc:Fallback>
      </mc:AlternateContent>
    </w:r>
    <w:r w:rsidRPr="00F51DB7">
      <w:rPr>
        <w:noProof/>
        <w:lang w:val="cs-CZ" w:eastAsia="cs-CZ"/>
      </w:rPr>
      <w:drawing>
        <wp:anchor distT="0" distB="0" distL="114300" distR="114300" simplePos="0" relativeHeight="251664384"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val="cs-CZ" w:eastAsia="cs-CZ"/>
      </w:rPr>
      <mc:AlternateContent>
        <mc:Choice Requires="wps">
          <w:drawing>
            <wp:anchor distT="0" distB="0" distL="114300" distR="114300" simplePos="0" relativeHeight="251655168"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17C88239" w:rsidR="00E30CD4" w:rsidRPr="00F413B0" w:rsidRDefault="0081551A" w:rsidP="00F51DB7">
                          <w:pPr>
                            <w:rPr>
                              <w:b/>
                              <w:bCs/>
                              <w:color w:val="003F2D"/>
                              <w:spacing w:val="-20"/>
                              <w:sz w:val="80"/>
                              <w:szCs w:val="80"/>
                            </w:rPr>
                          </w:pPr>
                          <w:r>
                            <w:rPr>
                              <w:b/>
                              <w:bCs/>
                              <w:color w:val="003F2D"/>
                              <w:spacing w:val="-20"/>
                              <w:sz w:val="80"/>
                              <w:szCs w:val="80"/>
                              <w:lang w:val="cs-CZ"/>
                            </w:rPr>
                            <w:t>Press</w:t>
                          </w:r>
                          <w:r w:rsidR="00E30CD4" w:rsidRPr="00F413B0">
                            <w:rPr>
                              <w:b/>
                              <w:bCs/>
                              <w:color w:val="003F2D"/>
                              <w:spacing w:val="-20"/>
                              <w:sz w:val="80"/>
                              <w:szCs w:val="80"/>
                            </w:rPr>
                            <w:t xml:space="preserv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" filled="f" stroked="f" strokeweight=".5pt">
              <v:textbox inset="0,0,0,0">
                <w:txbxContent>
                  <w:p w14:paraId="5F1630B1" w14:textId="17C88239" w:rsidR="00E30CD4" w:rsidRPr="00F413B0" w:rsidRDefault="0081551A" w:rsidP="00F51DB7">
                    <w:pPr>
                      <w:rPr>
                        <w:b/>
                        <w:bCs/>
                        <w:color w:val="003F2D"/>
                        <w:spacing w:val="-20"/>
                        <w:sz w:val="80"/>
                        <w:szCs w:val="80"/>
                      </w:rPr>
                    </w:pPr>
                    <w:r>
                      <w:rPr>
                        <w:b/>
                        <w:bCs/>
                        <w:color w:val="003F2D"/>
                        <w:spacing w:val="-20"/>
                        <w:sz w:val="80"/>
                        <w:szCs w:val="80"/>
                        <w:lang w:val="cs-CZ"/>
                      </w:rPr>
                      <w:t>Press</w:t>
                    </w:r>
                    <w:r w:rsidR="00E30CD4" w:rsidRPr="00F413B0">
                      <w:rPr>
                        <w:b/>
                        <w:bCs/>
                        <w:color w:val="003F2D"/>
                        <w:spacing w:val="-20"/>
                        <w:sz w:val="80"/>
                        <w:szCs w:val="80"/>
                      </w:rPr>
                      <w:t xml:space="preserve">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04D1E"/>
    <w:multiLevelType w:val="hybridMultilevel"/>
    <w:tmpl w:val="114AA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231014"/>
    <w:multiLevelType w:val="hybridMultilevel"/>
    <w:tmpl w:val="FE7CA86E"/>
    <w:lvl w:ilvl="0" w:tplc="3D925B6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F82369"/>
    <w:multiLevelType w:val="hybridMultilevel"/>
    <w:tmpl w:val="F6BAC43E"/>
    <w:lvl w:ilvl="0" w:tplc="6CB261B6">
      <w:start w:val="1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46051022">
    <w:abstractNumId w:val="7"/>
  </w:num>
  <w:num w:numId="2" w16cid:durableId="2064064794">
    <w:abstractNumId w:val="5"/>
  </w:num>
  <w:num w:numId="3" w16cid:durableId="2001617378">
    <w:abstractNumId w:val="8"/>
  </w:num>
  <w:num w:numId="4" w16cid:durableId="2112819505">
    <w:abstractNumId w:val="1"/>
  </w:num>
  <w:num w:numId="5" w16cid:durableId="1962376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448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446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6604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2627954">
    <w:abstractNumId w:val="4"/>
  </w:num>
  <w:num w:numId="10" w16cid:durableId="1370884670">
    <w:abstractNumId w:val="0"/>
  </w:num>
  <w:num w:numId="11" w16cid:durableId="101460060">
    <w:abstractNumId w:val="3"/>
  </w:num>
  <w:num w:numId="12" w16cid:durableId="1947036573">
    <w:abstractNumId w:val="2"/>
  </w:num>
  <w:num w:numId="13" w16cid:durableId="2021590439">
    <w:abstractNumId w:val="9"/>
  </w:num>
  <w:num w:numId="14" w16cid:durableId="1172338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D"/>
    <w:rsid w:val="00007199"/>
    <w:rsid w:val="00011123"/>
    <w:rsid w:val="00024932"/>
    <w:rsid w:val="00024F8C"/>
    <w:rsid w:val="00030322"/>
    <w:rsid w:val="00036013"/>
    <w:rsid w:val="00047A30"/>
    <w:rsid w:val="00056941"/>
    <w:rsid w:val="000600EC"/>
    <w:rsid w:val="00064421"/>
    <w:rsid w:val="00064B63"/>
    <w:rsid w:val="00073176"/>
    <w:rsid w:val="00076B7D"/>
    <w:rsid w:val="00083332"/>
    <w:rsid w:val="00083A22"/>
    <w:rsid w:val="000852B4"/>
    <w:rsid w:val="000978B8"/>
    <w:rsid w:val="000A542D"/>
    <w:rsid w:val="000B28E7"/>
    <w:rsid w:val="000D2F28"/>
    <w:rsid w:val="000D341A"/>
    <w:rsid w:val="000E3EC9"/>
    <w:rsid w:val="000E513F"/>
    <w:rsid w:val="000E526C"/>
    <w:rsid w:val="000E52BF"/>
    <w:rsid w:val="000F0FDC"/>
    <w:rsid w:val="000F5BEE"/>
    <w:rsid w:val="001045FD"/>
    <w:rsid w:val="001078C4"/>
    <w:rsid w:val="00120DFD"/>
    <w:rsid w:val="00131CA3"/>
    <w:rsid w:val="00140E0A"/>
    <w:rsid w:val="00144797"/>
    <w:rsid w:val="001704A1"/>
    <w:rsid w:val="00171104"/>
    <w:rsid w:val="00177CB0"/>
    <w:rsid w:val="001A0575"/>
    <w:rsid w:val="001A511A"/>
    <w:rsid w:val="001B0002"/>
    <w:rsid w:val="001B54C7"/>
    <w:rsid w:val="001B5E4E"/>
    <w:rsid w:val="001C57CD"/>
    <w:rsid w:val="001C73CF"/>
    <w:rsid w:val="001C79CC"/>
    <w:rsid w:val="001E24E3"/>
    <w:rsid w:val="001E57DD"/>
    <w:rsid w:val="001F3007"/>
    <w:rsid w:val="00201D5E"/>
    <w:rsid w:val="00206799"/>
    <w:rsid w:val="00207821"/>
    <w:rsid w:val="002209E5"/>
    <w:rsid w:val="00226F5A"/>
    <w:rsid w:val="002422DC"/>
    <w:rsid w:val="00247975"/>
    <w:rsid w:val="00252372"/>
    <w:rsid w:val="00254D6F"/>
    <w:rsid w:val="00262BA0"/>
    <w:rsid w:val="00266A9E"/>
    <w:rsid w:val="002674DC"/>
    <w:rsid w:val="00267AD2"/>
    <w:rsid w:val="002751E0"/>
    <w:rsid w:val="00275634"/>
    <w:rsid w:val="00280847"/>
    <w:rsid w:val="00282A85"/>
    <w:rsid w:val="0028319D"/>
    <w:rsid w:val="002838D9"/>
    <w:rsid w:val="00293D28"/>
    <w:rsid w:val="00294495"/>
    <w:rsid w:val="00295655"/>
    <w:rsid w:val="002A261E"/>
    <w:rsid w:val="002C64B4"/>
    <w:rsid w:val="002C7021"/>
    <w:rsid w:val="002C7033"/>
    <w:rsid w:val="002C7BCA"/>
    <w:rsid w:val="002D0D8A"/>
    <w:rsid w:val="002E1BB9"/>
    <w:rsid w:val="002E3D27"/>
    <w:rsid w:val="002E5AF9"/>
    <w:rsid w:val="002ED616"/>
    <w:rsid w:val="00301D40"/>
    <w:rsid w:val="003033AF"/>
    <w:rsid w:val="00303571"/>
    <w:rsid w:val="00313FE7"/>
    <w:rsid w:val="0031E37A"/>
    <w:rsid w:val="00330A0E"/>
    <w:rsid w:val="00334DAA"/>
    <w:rsid w:val="00336BC6"/>
    <w:rsid w:val="00340911"/>
    <w:rsid w:val="003509E7"/>
    <w:rsid w:val="00364ACC"/>
    <w:rsid w:val="00366367"/>
    <w:rsid w:val="003762E9"/>
    <w:rsid w:val="00382FF5"/>
    <w:rsid w:val="00383844"/>
    <w:rsid w:val="00385EC2"/>
    <w:rsid w:val="00391CB7"/>
    <w:rsid w:val="003A796B"/>
    <w:rsid w:val="003B0B9B"/>
    <w:rsid w:val="003B4492"/>
    <w:rsid w:val="003B44F1"/>
    <w:rsid w:val="003C6BB7"/>
    <w:rsid w:val="003F3C34"/>
    <w:rsid w:val="0040123C"/>
    <w:rsid w:val="004113B2"/>
    <w:rsid w:val="00412E8D"/>
    <w:rsid w:val="00413AA5"/>
    <w:rsid w:val="004224BA"/>
    <w:rsid w:val="00424070"/>
    <w:rsid w:val="00450610"/>
    <w:rsid w:val="00457E26"/>
    <w:rsid w:val="004814B1"/>
    <w:rsid w:val="004821E3"/>
    <w:rsid w:val="00485562"/>
    <w:rsid w:val="00491E6E"/>
    <w:rsid w:val="004A4C0D"/>
    <w:rsid w:val="004B77DE"/>
    <w:rsid w:val="004C4C0A"/>
    <w:rsid w:val="004E27E2"/>
    <w:rsid w:val="004E3B3A"/>
    <w:rsid w:val="004F5891"/>
    <w:rsid w:val="0050793C"/>
    <w:rsid w:val="00512BD9"/>
    <w:rsid w:val="005153BC"/>
    <w:rsid w:val="00515DD3"/>
    <w:rsid w:val="005175BE"/>
    <w:rsid w:val="005207FD"/>
    <w:rsid w:val="00521BCC"/>
    <w:rsid w:val="00521CAB"/>
    <w:rsid w:val="00522065"/>
    <w:rsid w:val="00526964"/>
    <w:rsid w:val="00545FCD"/>
    <w:rsid w:val="005469B0"/>
    <w:rsid w:val="0054772F"/>
    <w:rsid w:val="00552462"/>
    <w:rsid w:val="00553A6F"/>
    <w:rsid w:val="00554FEE"/>
    <w:rsid w:val="005668D7"/>
    <w:rsid w:val="00574ED7"/>
    <w:rsid w:val="00576FD6"/>
    <w:rsid w:val="00584E27"/>
    <w:rsid w:val="00590452"/>
    <w:rsid w:val="005B3B0D"/>
    <w:rsid w:val="005B4870"/>
    <w:rsid w:val="005B4B8E"/>
    <w:rsid w:val="005C1520"/>
    <w:rsid w:val="005C1891"/>
    <w:rsid w:val="005C22BE"/>
    <w:rsid w:val="005C281D"/>
    <w:rsid w:val="005C57C9"/>
    <w:rsid w:val="005D4735"/>
    <w:rsid w:val="005E4865"/>
    <w:rsid w:val="005E91C4"/>
    <w:rsid w:val="005F7F99"/>
    <w:rsid w:val="00601627"/>
    <w:rsid w:val="00601D80"/>
    <w:rsid w:val="00601D8C"/>
    <w:rsid w:val="00610107"/>
    <w:rsid w:val="00612C44"/>
    <w:rsid w:val="00616375"/>
    <w:rsid w:val="00627EB2"/>
    <w:rsid w:val="00630B79"/>
    <w:rsid w:val="0063267C"/>
    <w:rsid w:val="006330EB"/>
    <w:rsid w:val="00633141"/>
    <w:rsid w:val="00651745"/>
    <w:rsid w:val="00661ABD"/>
    <w:rsid w:val="00670C77"/>
    <w:rsid w:val="006725EE"/>
    <w:rsid w:val="006738F2"/>
    <w:rsid w:val="00681C87"/>
    <w:rsid w:val="006854ED"/>
    <w:rsid w:val="00685808"/>
    <w:rsid w:val="0068B457"/>
    <w:rsid w:val="00690849"/>
    <w:rsid w:val="00690DBA"/>
    <w:rsid w:val="00694265"/>
    <w:rsid w:val="00696D05"/>
    <w:rsid w:val="006A0984"/>
    <w:rsid w:val="006A0EEA"/>
    <w:rsid w:val="006B152B"/>
    <w:rsid w:val="006C2970"/>
    <w:rsid w:val="006C3991"/>
    <w:rsid w:val="006C6044"/>
    <w:rsid w:val="006D63A5"/>
    <w:rsid w:val="006F142F"/>
    <w:rsid w:val="006F1C7F"/>
    <w:rsid w:val="006F3592"/>
    <w:rsid w:val="006F397C"/>
    <w:rsid w:val="0070007F"/>
    <w:rsid w:val="007001C2"/>
    <w:rsid w:val="00703436"/>
    <w:rsid w:val="00704CD1"/>
    <w:rsid w:val="00716A5B"/>
    <w:rsid w:val="00720072"/>
    <w:rsid w:val="00722C2A"/>
    <w:rsid w:val="0072349F"/>
    <w:rsid w:val="007363FB"/>
    <w:rsid w:val="00736F66"/>
    <w:rsid w:val="00740BDE"/>
    <w:rsid w:val="00742D8F"/>
    <w:rsid w:val="00746CEA"/>
    <w:rsid w:val="00753C63"/>
    <w:rsid w:val="0076423C"/>
    <w:rsid w:val="007678F4"/>
    <w:rsid w:val="007763E8"/>
    <w:rsid w:val="00784715"/>
    <w:rsid w:val="007871E2"/>
    <w:rsid w:val="00793423"/>
    <w:rsid w:val="00797AAD"/>
    <w:rsid w:val="007A29ED"/>
    <w:rsid w:val="007A3613"/>
    <w:rsid w:val="007A3C6C"/>
    <w:rsid w:val="007A4FA0"/>
    <w:rsid w:val="007A6E57"/>
    <w:rsid w:val="007A7D89"/>
    <w:rsid w:val="007B403B"/>
    <w:rsid w:val="007C1420"/>
    <w:rsid w:val="007C1FDD"/>
    <w:rsid w:val="007D6DE1"/>
    <w:rsid w:val="007DC201"/>
    <w:rsid w:val="007E236C"/>
    <w:rsid w:val="007E352A"/>
    <w:rsid w:val="007E3C72"/>
    <w:rsid w:val="007F0F34"/>
    <w:rsid w:val="007F53DE"/>
    <w:rsid w:val="007F6C10"/>
    <w:rsid w:val="00805C6A"/>
    <w:rsid w:val="008141D0"/>
    <w:rsid w:val="0081551A"/>
    <w:rsid w:val="00825E78"/>
    <w:rsid w:val="00832B51"/>
    <w:rsid w:val="008354EE"/>
    <w:rsid w:val="008542D3"/>
    <w:rsid w:val="00854777"/>
    <w:rsid w:val="00857148"/>
    <w:rsid w:val="008621C5"/>
    <w:rsid w:val="00866C8B"/>
    <w:rsid w:val="00881E8C"/>
    <w:rsid w:val="008903B4"/>
    <w:rsid w:val="0089773C"/>
    <w:rsid w:val="008A1AFE"/>
    <w:rsid w:val="008A29D4"/>
    <w:rsid w:val="008A3BA5"/>
    <w:rsid w:val="008B3425"/>
    <w:rsid w:val="008B3E75"/>
    <w:rsid w:val="008B74A5"/>
    <w:rsid w:val="008F1D24"/>
    <w:rsid w:val="008F1D8F"/>
    <w:rsid w:val="008F4915"/>
    <w:rsid w:val="008F4E12"/>
    <w:rsid w:val="00901939"/>
    <w:rsid w:val="00907E35"/>
    <w:rsid w:val="00920933"/>
    <w:rsid w:val="009210BF"/>
    <w:rsid w:val="00927C74"/>
    <w:rsid w:val="00930F18"/>
    <w:rsid w:val="0093155E"/>
    <w:rsid w:val="00934361"/>
    <w:rsid w:val="00934556"/>
    <w:rsid w:val="00936048"/>
    <w:rsid w:val="009373C4"/>
    <w:rsid w:val="0094537E"/>
    <w:rsid w:val="00946A57"/>
    <w:rsid w:val="0095013A"/>
    <w:rsid w:val="0097249B"/>
    <w:rsid w:val="0097392E"/>
    <w:rsid w:val="00977C5D"/>
    <w:rsid w:val="00990231"/>
    <w:rsid w:val="00994CA7"/>
    <w:rsid w:val="009958A1"/>
    <w:rsid w:val="009A362D"/>
    <w:rsid w:val="009A3A68"/>
    <w:rsid w:val="009B0BD1"/>
    <w:rsid w:val="009C04BB"/>
    <w:rsid w:val="009C334D"/>
    <w:rsid w:val="009C6411"/>
    <w:rsid w:val="009C6ACA"/>
    <w:rsid w:val="009C6C67"/>
    <w:rsid w:val="009D4630"/>
    <w:rsid w:val="00A15C2E"/>
    <w:rsid w:val="00A26BF0"/>
    <w:rsid w:val="00A27211"/>
    <w:rsid w:val="00A31B6A"/>
    <w:rsid w:val="00A37061"/>
    <w:rsid w:val="00A377C5"/>
    <w:rsid w:val="00A37D4D"/>
    <w:rsid w:val="00A44446"/>
    <w:rsid w:val="00A46DBB"/>
    <w:rsid w:val="00A4782D"/>
    <w:rsid w:val="00A50C10"/>
    <w:rsid w:val="00A5269C"/>
    <w:rsid w:val="00A52ACF"/>
    <w:rsid w:val="00A53699"/>
    <w:rsid w:val="00A54714"/>
    <w:rsid w:val="00A67E84"/>
    <w:rsid w:val="00A67F88"/>
    <w:rsid w:val="00A70237"/>
    <w:rsid w:val="00A71B8E"/>
    <w:rsid w:val="00A75315"/>
    <w:rsid w:val="00A90A3A"/>
    <w:rsid w:val="00A90CB1"/>
    <w:rsid w:val="00A9707D"/>
    <w:rsid w:val="00AA247D"/>
    <w:rsid w:val="00AA6128"/>
    <w:rsid w:val="00AB5CFE"/>
    <w:rsid w:val="00AC3FA0"/>
    <w:rsid w:val="00AD6E51"/>
    <w:rsid w:val="00AE14C3"/>
    <w:rsid w:val="00AE3CDD"/>
    <w:rsid w:val="00AE4F5F"/>
    <w:rsid w:val="00AF3022"/>
    <w:rsid w:val="00AF5205"/>
    <w:rsid w:val="00AF6207"/>
    <w:rsid w:val="00B049FB"/>
    <w:rsid w:val="00B13513"/>
    <w:rsid w:val="00B20AEE"/>
    <w:rsid w:val="00B321F5"/>
    <w:rsid w:val="00B443B8"/>
    <w:rsid w:val="00B45156"/>
    <w:rsid w:val="00B45298"/>
    <w:rsid w:val="00B45A14"/>
    <w:rsid w:val="00B627CE"/>
    <w:rsid w:val="00B654E0"/>
    <w:rsid w:val="00B703FD"/>
    <w:rsid w:val="00B72576"/>
    <w:rsid w:val="00B90463"/>
    <w:rsid w:val="00B91D54"/>
    <w:rsid w:val="00BA3ACA"/>
    <w:rsid w:val="00BB0E9C"/>
    <w:rsid w:val="00BB71B3"/>
    <w:rsid w:val="00BC1ACF"/>
    <w:rsid w:val="00BC4CF9"/>
    <w:rsid w:val="00BE1A09"/>
    <w:rsid w:val="00BE569E"/>
    <w:rsid w:val="00BE6292"/>
    <w:rsid w:val="00BE7B6E"/>
    <w:rsid w:val="00BF0717"/>
    <w:rsid w:val="00BF76BE"/>
    <w:rsid w:val="00C03912"/>
    <w:rsid w:val="00C179A5"/>
    <w:rsid w:val="00C25C90"/>
    <w:rsid w:val="00C35AFB"/>
    <w:rsid w:val="00C43ACF"/>
    <w:rsid w:val="00C44A81"/>
    <w:rsid w:val="00C463A2"/>
    <w:rsid w:val="00C465B8"/>
    <w:rsid w:val="00C576F3"/>
    <w:rsid w:val="00C63036"/>
    <w:rsid w:val="00C64AEB"/>
    <w:rsid w:val="00C65B5C"/>
    <w:rsid w:val="00C77850"/>
    <w:rsid w:val="00C82832"/>
    <w:rsid w:val="00C83135"/>
    <w:rsid w:val="00C83ACF"/>
    <w:rsid w:val="00C84A05"/>
    <w:rsid w:val="00C86B4E"/>
    <w:rsid w:val="00C93E39"/>
    <w:rsid w:val="00CA0C88"/>
    <w:rsid w:val="00CA185A"/>
    <w:rsid w:val="00CA2436"/>
    <w:rsid w:val="00CB2C62"/>
    <w:rsid w:val="00CB498B"/>
    <w:rsid w:val="00CB5B5A"/>
    <w:rsid w:val="00CB75B5"/>
    <w:rsid w:val="00CB7967"/>
    <w:rsid w:val="00CC4710"/>
    <w:rsid w:val="00CD06E2"/>
    <w:rsid w:val="00CF12FE"/>
    <w:rsid w:val="00CF2A18"/>
    <w:rsid w:val="00CF3E72"/>
    <w:rsid w:val="00D00C48"/>
    <w:rsid w:val="00D02039"/>
    <w:rsid w:val="00D15FA3"/>
    <w:rsid w:val="00D3006F"/>
    <w:rsid w:val="00D3096F"/>
    <w:rsid w:val="00D30C5C"/>
    <w:rsid w:val="00D37D4B"/>
    <w:rsid w:val="00D40741"/>
    <w:rsid w:val="00D43EBE"/>
    <w:rsid w:val="00D45333"/>
    <w:rsid w:val="00D66CF5"/>
    <w:rsid w:val="00D67A82"/>
    <w:rsid w:val="00D71EF8"/>
    <w:rsid w:val="00D76255"/>
    <w:rsid w:val="00D76E03"/>
    <w:rsid w:val="00D80139"/>
    <w:rsid w:val="00D80D17"/>
    <w:rsid w:val="00D8736C"/>
    <w:rsid w:val="00D910D7"/>
    <w:rsid w:val="00DA66B1"/>
    <w:rsid w:val="00DB1F29"/>
    <w:rsid w:val="00DB4754"/>
    <w:rsid w:val="00DC0226"/>
    <w:rsid w:val="00DC08A6"/>
    <w:rsid w:val="00DD3D68"/>
    <w:rsid w:val="00DF492B"/>
    <w:rsid w:val="00E007D8"/>
    <w:rsid w:val="00E01C37"/>
    <w:rsid w:val="00E02087"/>
    <w:rsid w:val="00E11D59"/>
    <w:rsid w:val="00E14C17"/>
    <w:rsid w:val="00E1641D"/>
    <w:rsid w:val="00E30B47"/>
    <w:rsid w:val="00E30CD4"/>
    <w:rsid w:val="00E36B2D"/>
    <w:rsid w:val="00E5338E"/>
    <w:rsid w:val="00E53AB4"/>
    <w:rsid w:val="00E53CA1"/>
    <w:rsid w:val="00E60CFB"/>
    <w:rsid w:val="00E67E46"/>
    <w:rsid w:val="00E72C5B"/>
    <w:rsid w:val="00E8031D"/>
    <w:rsid w:val="00E971BB"/>
    <w:rsid w:val="00EA4B01"/>
    <w:rsid w:val="00EA5F2E"/>
    <w:rsid w:val="00EA74A5"/>
    <w:rsid w:val="00EB2C66"/>
    <w:rsid w:val="00EB3A75"/>
    <w:rsid w:val="00EC298E"/>
    <w:rsid w:val="00ED1394"/>
    <w:rsid w:val="00ED2D07"/>
    <w:rsid w:val="00ED366C"/>
    <w:rsid w:val="00ED6BFF"/>
    <w:rsid w:val="00EE1414"/>
    <w:rsid w:val="00F00F82"/>
    <w:rsid w:val="00F05226"/>
    <w:rsid w:val="00F07545"/>
    <w:rsid w:val="00F121C0"/>
    <w:rsid w:val="00F22947"/>
    <w:rsid w:val="00F25B5F"/>
    <w:rsid w:val="00F40950"/>
    <w:rsid w:val="00F51DB7"/>
    <w:rsid w:val="00F52687"/>
    <w:rsid w:val="00F60134"/>
    <w:rsid w:val="00F81642"/>
    <w:rsid w:val="00F91C4E"/>
    <w:rsid w:val="00F97DB8"/>
    <w:rsid w:val="00FA1984"/>
    <w:rsid w:val="00FB06BA"/>
    <w:rsid w:val="00FB1853"/>
    <w:rsid w:val="00FB548F"/>
    <w:rsid w:val="00FC5953"/>
    <w:rsid w:val="00FC6E1E"/>
    <w:rsid w:val="00FD197D"/>
    <w:rsid w:val="00FD31DE"/>
    <w:rsid w:val="00FD7B16"/>
    <w:rsid w:val="00FE3BA8"/>
    <w:rsid w:val="00FE5ACB"/>
    <w:rsid w:val="00FF77CD"/>
    <w:rsid w:val="0100B531"/>
    <w:rsid w:val="01082C4E"/>
    <w:rsid w:val="0118B830"/>
    <w:rsid w:val="0119C134"/>
    <w:rsid w:val="0132B74E"/>
    <w:rsid w:val="01374A47"/>
    <w:rsid w:val="01430BA3"/>
    <w:rsid w:val="01642427"/>
    <w:rsid w:val="0168570E"/>
    <w:rsid w:val="018D1A68"/>
    <w:rsid w:val="018E7B72"/>
    <w:rsid w:val="018F8CE6"/>
    <w:rsid w:val="019FC511"/>
    <w:rsid w:val="01AAC814"/>
    <w:rsid w:val="01CE3192"/>
    <w:rsid w:val="01E0B7E0"/>
    <w:rsid w:val="0203A889"/>
    <w:rsid w:val="021FB6EE"/>
    <w:rsid w:val="022BEF28"/>
    <w:rsid w:val="02826F11"/>
    <w:rsid w:val="02927D0B"/>
    <w:rsid w:val="02A38A97"/>
    <w:rsid w:val="02B8EB94"/>
    <w:rsid w:val="02BA1AD2"/>
    <w:rsid w:val="02C4B11B"/>
    <w:rsid w:val="02CBCC4D"/>
    <w:rsid w:val="02D3E79E"/>
    <w:rsid w:val="03453E8E"/>
    <w:rsid w:val="034FE45A"/>
    <w:rsid w:val="034FEEAD"/>
    <w:rsid w:val="035EC35B"/>
    <w:rsid w:val="0365C9F2"/>
    <w:rsid w:val="036CCDBE"/>
    <w:rsid w:val="03883FA0"/>
    <w:rsid w:val="03ADF79F"/>
    <w:rsid w:val="03AF0F32"/>
    <w:rsid w:val="03B6AFF6"/>
    <w:rsid w:val="03BD6FEE"/>
    <w:rsid w:val="03C8712B"/>
    <w:rsid w:val="03DD6243"/>
    <w:rsid w:val="03E9E124"/>
    <w:rsid w:val="041E8CAB"/>
    <w:rsid w:val="043AFD11"/>
    <w:rsid w:val="0477E5C1"/>
    <w:rsid w:val="0496ADF5"/>
    <w:rsid w:val="049A891F"/>
    <w:rsid w:val="049D3CD3"/>
    <w:rsid w:val="04B3D885"/>
    <w:rsid w:val="04B9490D"/>
    <w:rsid w:val="04BE3D76"/>
    <w:rsid w:val="04C3D139"/>
    <w:rsid w:val="04CC13B6"/>
    <w:rsid w:val="04D8EBE6"/>
    <w:rsid w:val="04E8C87D"/>
    <w:rsid w:val="04F1A2A6"/>
    <w:rsid w:val="04F820ED"/>
    <w:rsid w:val="04FED68E"/>
    <w:rsid w:val="054992FA"/>
    <w:rsid w:val="057346C3"/>
    <w:rsid w:val="05777235"/>
    <w:rsid w:val="059FB3EB"/>
    <w:rsid w:val="05ADE7B4"/>
    <w:rsid w:val="05C16C10"/>
    <w:rsid w:val="05D60DC0"/>
    <w:rsid w:val="05F08C56"/>
    <w:rsid w:val="0613B622"/>
    <w:rsid w:val="06167CC6"/>
    <w:rsid w:val="062127E0"/>
    <w:rsid w:val="064CAD72"/>
    <w:rsid w:val="064F787C"/>
    <w:rsid w:val="06716D33"/>
    <w:rsid w:val="0673CD2D"/>
    <w:rsid w:val="067D3668"/>
    <w:rsid w:val="068010DD"/>
    <w:rsid w:val="0687D4ED"/>
    <w:rsid w:val="06B38399"/>
    <w:rsid w:val="06B655A8"/>
    <w:rsid w:val="06E10F52"/>
    <w:rsid w:val="06F132AE"/>
    <w:rsid w:val="071381A1"/>
    <w:rsid w:val="073E43D2"/>
    <w:rsid w:val="077B1ABE"/>
    <w:rsid w:val="0796A8BB"/>
    <w:rsid w:val="07AF8683"/>
    <w:rsid w:val="07BF2469"/>
    <w:rsid w:val="07D0C28B"/>
    <w:rsid w:val="07F1D950"/>
    <w:rsid w:val="08074AAE"/>
    <w:rsid w:val="082D5655"/>
    <w:rsid w:val="085BB0C3"/>
    <w:rsid w:val="087C3F7F"/>
    <w:rsid w:val="08844C72"/>
    <w:rsid w:val="088A2119"/>
    <w:rsid w:val="08B8B284"/>
    <w:rsid w:val="08C4B820"/>
    <w:rsid w:val="08CA1FD4"/>
    <w:rsid w:val="08F01BDD"/>
    <w:rsid w:val="09171819"/>
    <w:rsid w:val="092513CF"/>
    <w:rsid w:val="092A02CA"/>
    <w:rsid w:val="09302FCE"/>
    <w:rsid w:val="093FCC4A"/>
    <w:rsid w:val="094B56E4"/>
    <w:rsid w:val="09537329"/>
    <w:rsid w:val="09809E36"/>
    <w:rsid w:val="0985B217"/>
    <w:rsid w:val="09A6B565"/>
    <w:rsid w:val="09A8F375"/>
    <w:rsid w:val="09C0B4C7"/>
    <w:rsid w:val="09DD5CA1"/>
    <w:rsid w:val="09E30BAF"/>
    <w:rsid w:val="09EDF66A"/>
    <w:rsid w:val="0A05740A"/>
    <w:rsid w:val="0A25B447"/>
    <w:rsid w:val="0A337E96"/>
    <w:rsid w:val="0A4003E8"/>
    <w:rsid w:val="0A43A1CB"/>
    <w:rsid w:val="0A4CB056"/>
    <w:rsid w:val="0A5120BA"/>
    <w:rsid w:val="0A648722"/>
    <w:rsid w:val="0A734A93"/>
    <w:rsid w:val="0A9162AF"/>
    <w:rsid w:val="0AA26965"/>
    <w:rsid w:val="0AB94708"/>
    <w:rsid w:val="0AC07CEA"/>
    <w:rsid w:val="0B091748"/>
    <w:rsid w:val="0B172620"/>
    <w:rsid w:val="0B172B0C"/>
    <w:rsid w:val="0B1AD14F"/>
    <w:rsid w:val="0B733C68"/>
    <w:rsid w:val="0B73655B"/>
    <w:rsid w:val="0B8A0434"/>
    <w:rsid w:val="0B8A6F56"/>
    <w:rsid w:val="0B8F109C"/>
    <w:rsid w:val="0BA1446B"/>
    <w:rsid w:val="0BB4F34D"/>
    <w:rsid w:val="0BB7C73F"/>
    <w:rsid w:val="0BCD0993"/>
    <w:rsid w:val="0BD6E4BF"/>
    <w:rsid w:val="0BD9FA5E"/>
    <w:rsid w:val="0BE17D1C"/>
    <w:rsid w:val="0BE2CC1D"/>
    <w:rsid w:val="0C1F0B8F"/>
    <w:rsid w:val="0C236FF5"/>
    <w:rsid w:val="0C40A055"/>
    <w:rsid w:val="0C85FBB2"/>
    <w:rsid w:val="0C8C9892"/>
    <w:rsid w:val="0C8F2F4B"/>
    <w:rsid w:val="0C9A9C78"/>
    <w:rsid w:val="0CA195B5"/>
    <w:rsid w:val="0CB29B09"/>
    <w:rsid w:val="0CB6A1B0"/>
    <w:rsid w:val="0CD76E97"/>
    <w:rsid w:val="0CE2F35B"/>
    <w:rsid w:val="0CF1899B"/>
    <w:rsid w:val="0D05A5A1"/>
    <w:rsid w:val="0D3ACB7F"/>
    <w:rsid w:val="0D3AFA41"/>
    <w:rsid w:val="0D64DF5E"/>
    <w:rsid w:val="0D863F86"/>
    <w:rsid w:val="0D8D250E"/>
    <w:rsid w:val="0D9F8056"/>
    <w:rsid w:val="0DAF2DCB"/>
    <w:rsid w:val="0DC9D5B4"/>
    <w:rsid w:val="0E3B904E"/>
    <w:rsid w:val="0E486A93"/>
    <w:rsid w:val="0E525F4A"/>
    <w:rsid w:val="0E57F5B4"/>
    <w:rsid w:val="0E9E2E8C"/>
    <w:rsid w:val="0EB8807C"/>
    <w:rsid w:val="0EEB2212"/>
    <w:rsid w:val="0EF6D5F2"/>
    <w:rsid w:val="0EF90850"/>
    <w:rsid w:val="0F216D02"/>
    <w:rsid w:val="0F5516D8"/>
    <w:rsid w:val="0F5652F9"/>
    <w:rsid w:val="0F697834"/>
    <w:rsid w:val="0F7E572A"/>
    <w:rsid w:val="0F944FF9"/>
    <w:rsid w:val="0F98F971"/>
    <w:rsid w:val="0F9C9646"/>
    <w:rsid w:val="0FBA9868"/>
    <w:rsid w:val="0FDE0F83"/>
    <w:rsid w:val="0FE41455"/>
    <w:rsid w:val="10069236"/>
    <w:rsid w:val="100B3AF8"/>
    <w:rsid w:val="100B991C"/>
    <w:rsid w:val="1030F441"/>
    <w:rsid w:val="1038B00E"/>
    <w:rsid w:val="1051DB39"/>
    <w:rsid w:val="105967D5"/>
    <w:rsid w:val="105D7557"/>
    <w:rsid w:val="10758282"/>
    <w:rsid w:val="1088645E"/>
    <w:rsid w:val="10A13D56"/>
    <w:rsid w:val="10AD867A"/>
    <w:rsid w:val="10B086C0"/>
    <w:rsid w:val="10B7B71E"/>
    <w:rsid w:val="10C59FC9"/>
    <w:rsid w:val="10C69B5B"/>
    <w:rsid w:val="11302267"/>
    <w:rsid w:val="116AC3CA"/>
    <w:rsid w:val="1175F80D"/>
    <w:rsid w:val="117F4577"/>
    <w:rsid w:val="1197DE7B"/>
    <w:rsid w:val="11D0BD26"/>
    <w:rsid w:val="11E01D5B"/>
    <w:rsid w:val="120DD993"/>
    <w:rsid w:val="127C696D"/>
    <w:rsid w:val="128CA44D"/>
    <w:rsid w:val="129240DE"/>
    <w:rsid w:val="129FBE68"/>
    <w:rsid w:val="12A76926"/>
    <w:rsid w:val="12A92042"/>
    <w:rsid w:val="12AE3F75"/>
    <w:rsid w:val="12DBA123"/>
    <w:rsid w:val="13163154"/>
    <w:rsid w:val="1316B241"/>
    <w:rsid w:val="13262D40"/>
    <w:rsid w:val="133DF947"/>
    <w:rsid w:val="1374E725"/>
    <w:rsid w:val="13B49303"/>
    <w:rsid w:val="13CB727D"/>
    <w:rsid w:val="13D4C146"/>
    <w:rsid w:val="13E5273C"/>
    <w:rsid w:val="1410B7BA"/>
    <w:rsid w:val="1429C798"/>
    <w:rsid w:val="143A6A8D"/>
    <w:rsid w:val="144914F6"/>
    <w:rsid w:val="1450611E"/>
    <w:rsid w:val="149C44AD"/>
    <w:rsid w:val="14AC118D"/>
    <w:rsid w:val="14CE8CB1"/>
    <w:rsid w:val="14D0FCA9"/>
    <w:rsid w:val="14D49340"/>
    <w:rsid w:val="14D9BF10"/>
    <w:rsid w:val="14E18A40"/>
    <w:rsid w:val="14F730BE"/>
    <w:rsid w:val="15254C5C"/>
    <w:rsid w:val="1536D213"/>
    <w:rsid w:val="1571CC11"/>
    <w:rsid w:val="157D98A1"/>
    <w:rsid w:val="15AED498"/>
    <w:rsid w:val="15D8BC56"/>
    <w:rsid w:val="15E0E288"/>
    <w:rsid w:val="15E45FF0"/>
    <w:rsid w:val="15EB38D9"/>
    <w:rsid w:val="15F09E77"/>
    <w:rsid w:val="15FC19EA"/>
    <w:rsid w:val="1640B5D9"/>
    <w:rsid w:val="1649771E"/>
    <w:rsid w:val="165265A5"/>
    <w:rsid w:val="1659E6EF"/>
    <w:rsid w:val="166F1BD8"/>
    <w:rsid w:val="1677A4E5"/>
    <w:rsid w:val="167F847D"/>
    <w:rsid w:val="16857B5F"/>
    <w:rsid w:val="16955F45"/>
    <w:rsid w:val="16ECE5E0"/>
    <w:rsid w:val="1706534F"/>
    <w:rsid w:val="173F8B0C"/>
    <w:rsid w:val="17629741"/>
    <w:rsid w:val="176EC67E"/>
    <w:rsid w:val="17950EE8"/>
    <w:rsid w:val="17B32F73"/>
    <w:rsid w:val="17D7B479"/>
    <w:rsid w:val="181632AE"/>
    <w:rsid w:val="182100E8"/>
    <w:rsid w:val="1841DB38"/>
    <w:rsid w:val="1843C4C1"/>
    <w:rsid w:val="18518E50"/>
    <w:rsid w:val="190399C6"/>
    <w:rsid w:val="191642AE"/>
    <w:rsid w:val="193A3F13"/>
    <w:rsid w:val="195606FE"/>
    <w:rsid w:val="1975B910"/>
    <w:rsid w:val="19924E83"/>
    <w:rsid w:val="19988FCA"/>
    <w:rsid w:val="19BCB08E"/>
    <w:rsid w:val="19CB9202"/>
    <w:rsid w:val="19DA20DA"/>
    <w:rsid w:val="19EF80BC"/>
    <w:rsid w:val="19FC6A17"/>
    <w:rsid w:val="1A23855A"/>
    <w:rsid w:val="1A292B56"/>
    <w:rsid w:val="1A5468C0"/>
    <w:rsid w:val="1A70148D"/>
    <w:rsid w:val="1A72B43C"/>
    <w:rsid w:val="1AB6DBB8"/>
    <w:rsid w:val="1ACC559B"/>
    <w:rsid w:val="1ACD3E7E"/>
    <w:rsid w:val="1ACE2F1A"/>
    <w:rsid w:val="1AD4D68B"/>
    <w:rsid w:val="1AD73685"/>
    <w:rsid w:val="1ADA0CDE"/>
    <w:rsid w:val="1ADEF233"/>
    <w:rsid w:val="1AF0982C"/>
    <w:rsid w:val="1AFA333C"/>
    <w:rsid w:val="1B1A7261"/>
    <w:rsid w:val="1B2EA4A8"/>
    <w:rsid w:val="1B4807BE"/>
    <w:rsid w:val="1B55C56F"/>
    <w:rsid w:val="1B75D343"/>
    <w:rsid w:val="1B7BC58E"/>
    <w:rsid w:val="1BB53BC0"/>
    <w:rsid w:val="1BBF6317"/>
    <w:rsid w:val="1BC4F977"/>
    <w:rsid w:val="1BF16F77"/>
    <w:rsid w:val="1BF595F6"/>
    <w:rsid w:val="1C4EB5AC"/>
    <w:rsid w:val="1C5B01CF"/>
    <w:rsid w:val="1C7A852B"/>
    <w:rsid w:val="1CA87ECC"/>
    <w:rsid w:val="1CCDAC31"/>
    <w:rsid w:val="1CF3C46B"/>
    <w:rsid w:val="1D1735E4"/>
    <w:rsid w:val="1D2F8C4E"/>
    <w:rsid w:val="1D43A539"/>
    <w:rsid w:val="1D44C8A6"/>
    <w:rsid w:val="1D4CCC24"/>
    <w:rsid w:val="1D4DBF1B"/>
    <w:rsid w:val="1D508C3A"/>
    <w:rsid w:val="1D5E8DDA"/>
    <w:rsid w:val="1D8C83F1"/>
    <w:rsid w:val="1D8D6C22"/>
    <w:rsid w:val="1D933E4D"/>
    <w:rsid w:val="1DB9E67D"/>
    <w:rsid w:val="1DCACC5D"/>
    <w:rsid w:val="1DDBF5C9"/>
    <w:rsid w:val="1E35C0B2"/>
    <w:rsid w:val="1E7CC912"/>
    <w:rsid w:val="1EA6CE4D"/>
    <w:rsid w:val="1EB30645"/>
    <w:rsid w:val="1EB3E85B"/>
    <w:rsid w:val="1EC24423"/>
    <w:rsid w:val="1ED8B1C7"/>
    <w:rsid w:val="1EF29CBA"/>
    <w:rsid w:val="1F263C1F"/>
    <w:rsid w:val="1F28AEC4"/>
    <w:rsid w:val="1F6C9692"/>
    <w:rsid w:val="1F923462"/>
    <w:rsid w:val="1FB5AA66"/>
    <w:rsid w:val="1FC1DDBB"/>
    <w:rsid w:val="1FCBF6D5"/>
    <w:rsid w:val="1FD86E77"/>
    <w:rsid w:val="1FEAABCD"/>
    <w:rsid w:val="1FFB8610"/>
    <w:rsid w:val="200AE769"/>
    <w:rsid w:val="2057AD04"/>
    <w:rsid w:val="2069F40D"/>
    <w:rsid w:val="206EDDEF"/>
    <w:rsid w:val="20855FDD"/>
    <w:rsid w:val="209D5B0C"/>
    <w:rsid w:val="20B418E1"/>
    <w:rsid w:val="20BAC430"/>
    <w:rsid w:val="20CB9C6E"/>
    <w:rsid w:val="20CDA60C"/>
    <w:rsid w:val="20CECDAB"/>
    <w:rsid w:val="20DCA66C"/>
    <w:rsid w:val="211A63D9"/>
    <w:rsid w:val="212022F9"/>
    <w:rsid w:val="2122B2D1"/>
    <w:rsid w:val="21350B5A"/>
    <w:rsid w:val="215A8A47"/>
    <w:rsid w:val="216712BF"/>
    <w:rsid w:val="216E1B1F"/>
    <w:rsid w:val="2183C950"/>
    <w:rsid w:val="21A666FC"/>
    <w:rsid w:val="21A6EF64"/>
    <w:rsid w:val="21B6133C"/>
    <w:rsid w:val="21D641D5"/>
    <w:rsid w:val="21E541B2"/>
    <w:rsid w:val="224F14AF"/>
    <w:rsid w:val="2267CD97"/>
    <w:rsid w:val="227F5DAB"/>
    <w:rsid w:val="229A8E06"/>
    <w:rsid w:val="22AF1A84"/>
    <w:rsid w:val="22CAEB0D"/>
    <w:rsid w:val="22CFD29F"/>
    <w:rsid w:val="22D0DBBB"/>
    <w:rsid w:val="22E07550"/>
    <w:rsid w:val="22FB3EEF"/>
    <w:rsid w:val="23072B0C"/>
    <w:rsid w:val="23157112"/>
    <w:rsid w:val="2317587F"/>
    <w:rsid w:val="231FA9A5"/>
    <w:rsid w:val="2324252F"/>
    <w:rsid w:val="23254378"/>
    <w:rsid w:val="234AEA96"/>
    <w:rsid w:val="2356A22F"/>
    <w:rsid w:val="23752A37"/>
    <w:rsid w:val="23CA67A0"/>
    <w:rsid w:val="23CAB0D1"/>
    <w:rsid w:val="23E8C2E9"/>
    <w:rsid w:val="23EAE510"/>
    <w:rsid w:val="23F9E57C"/>
    <w:rsid w:val="24315491"/>
    <w:rsid w:val="243A0DE1"/>
    <w:rsid w:val="244817E0"/>
    <w:rsid w:val="2452972F"/>
    <w:rsid w:val="245593DD"/>
    <w:rsid w:val="2457FAC6"/>
    <w:rsid w:val="2458C27A"/>
    <w:rsid w:val="2465A585"/>
    <w:rsid w:val="246B24F7"/>
    <w:rsid w:val="247A111C"/>
    <w:rsid w:val="24A4FDF8"/>
    <w:rsid w:val="24A50236"/>
    <w:rsid w:val="24CAD2F7"/>
    <w:rsid w:val="24CB0BA2"/>
    <w:rsid w:val="24E5C6C1"/>
    <w:rsid w:val="24E73023"/>
    <w:rsid w:val="2508DBE6"/>
    <w:rsid w:val="2519B924"/>
    <w:rsid w:val="25359D00"/>
    <w:rsid w:val="253F1CBE"/>
    <w:rsid w:val="25408911"/>
    <w:rsid w:val="255E1FC3"/>
    <w:rsid w:val="2576114B"/>
    <w:rsid w:val="258BEED9"/>
    <w:rsid w:val="2597F3DA"/>
    <w:rsid w:val="25A4CEFF"/>
    <w:rsid w:val="25C97924"/>
    <w:rsid w:val="25CA8808"/>
    <w:rsid w:val="263CE231"/>
    <w:rsid w:val="269DFB1E"/>
    <w:rsid w:val="26D55BB0"/>
    <w:rsid w:val="26D5C31B"/>
    <w:rsid w:val="274A792C"/>
    <w:rsid w:val="27665869"/>
    <w:rsid w:val="27747306"/>
    <w:rsid w:val="279923B0"/>
    <w:rsid w:val="27AEF281"/>
    <w:rsid w:val="27B54C23"/>
    <w:rsid w:val="27C47BAA"/>
    <w:rsid w:val="27CF1B34"/>
    <w:rsid w:val="27E86454"/>
    <w:rsid w:val="27F8B79F"/>
    <w:rsid w:val="27FA1492"/>
    <w:rsid w:val="2829496D"/>
    <w:rsid w:val="284F0E9B"/>
    <w:rsid w:val="285428C2"/>
    <w:rsid w:val="2871F575"/>
    <w:rsid w:val="28B0FAC5"/>
    <w:rsid w:val="28B4D815"/>
    <w:rsid w:val="28CEBC29"/>
    <w:rsid w:val="28E74671"/>
    <w:rsid w:val="29143882"/>
    <w:rsid w:val="292D60DF"/>
    <w:rsid w:val="2937530D"/>
    <w:rsid w:val="29507F7F"/>
    <w:rsid w:val="2954C0FF"/>
    <w:rsid w:val="295F372F"/>
    <w:rsid w:val="296059C6"/>
    <w:rsid w:val="29787359"/>
    <w:rsid w:val="297D2413"/>
    <w:rsid w:val="29B39B74"/>
    <w:rsid w:val="29E05BED"/>
    <w:rsid w:val="2A0A3207"/>
    <w:rsid w:val="2A0F43B8"/>
    <w:rsid w:val="2A34460A"/>
    <w:rsid w:val="2A3D516B"/>
    <w:rsid w:val="2A4DB0EA"/>
    <w:rsid w:val="2A5CED38"/>
    <w:rsid w:val="2A671844"/>
    <w:rsid w:val="2A9E7541"/>
    <w:rsid w:val="2AC483EC"/>
    <w:rsid w:val="2AF515FD"/>
    <w:rsid w:val="2B126989"/>
    <w:rsid w:val="2B1589CE"/>
    <w:rsid w:val="2B274057"/>
    <w:rsid w:val="2B77E7FC"/>
    <w:rsid w:val="2B9976D3"/>
    <w:rsid w:val="2BB64BC8"/>
    <w:rsid w:val="2BDF032C"/>
    <w:rsid w:val="2BF5F6F5"/>
    <w:rsid w:val="2C137516"/>
    <w:rsid w:val="2C13A746"/>
    <w:rsid w:val="2C1BCDB8"/>
    <w:rsid w:val="2C2A7FB1"/>
    <w:rsid w:val="2C34985A"/>
    <w:rsid w:val="2C440DBE"/>
    <w:rsid w:val="2C6C4198"/>
    <w:rsid w:val="2C6FBF68"/>
    <w:rsid w:val="2C8F0A83"/>
    <w:rsid w:val="2CB1A619"/>
    <w:rsid w:val="2CB5CFA3"/>
    <w:rsid w:val="2CBBD577"/>
    <w:rsid w:val="2CF44D9C"/>
    <w:rsid w:val="2CFEEF29"/>
    <w:rsid w:val="2D165105"/>
    <w:rsid w:val="2D44FCD9"/>
    <w:rsid w:val="2D89D9D0"/>
    <w:rsid w:val="2D952055"/>
    <w:rsid w:val="2DA22D4C"/>
    <w:rsid w:val="2DAD19BE"/>
    <w:rsid w:val="2DAF77A7"/>
    <w:rsid w:val="2DB5F7CE"/>
    <w:rsid w:val="2DD502A3"/>
    <w:rsid w:val="2DD63C01"/>
    <w:rsid w:val="2DD7F7CD"/>
    <w:rsid w:val="2DE31945"/>
    <w:rsid w:val="2DE7A9A5"/>
    <w:rsid w:val="2DF7D733"/>
    <w:rsid w:val="2DFFA45A"/>
    <w:rsid w:val="2E2D2920"/>
    <w:rsid w:val="2E35A721"/>
    <w:rsid w:val="2E50BDB9"/>
    <w:rsid w:val="2E52FA56"/>
    <w:rsid w:val="2E8166AF"/>
    <w:rsid w:val="2E9F2601"/>
    <w:rsid w:val="2EB6BD5A"/>
    <w:rsid w:val="2EDC6651"/>
    <w:rsid w:val="2F3FA76F"/>
    <w:rsid w:val="2F6D4FD7"/>
    <w:rsid w:val="2F73C82E"/>
    <w:rsid w:val="2FE9616E"/>
    <w:rsid w:val="30189843"/>
    <w:rsid w:val="30233CF3"/>
    <w:rsid w:val="30456FF6"/>
    <w:rsid w:val="306437D7"/>
    <w:rsid w:val="30A0D23C"/>
    <w:rsid w:val="30B5EFB1"/>
    <w:rsid w:val="30D16EE4"/>
    <w:rsid w:val="30E2B523"/>
    <w:rsid w:val="3103A0D0"/>
    <w:rsid w:val="3125F40D"/>
    <w:rsid w:val="315A63EC"/>
    <w:rsid w:val="31662704"/>
    <w:rsid w:val="316DCCC1"/>
    <w:rsid w:val="317FE050"/>
    <w:rsid w:val="3181D806"/>
    <w:rsid w:val="3188E9D7"/>
    <w:rsid w:val="3198E14F"/>
    <w:rsid w:val="31BE72E6"/>
    <w:rsid w:val="31CBA6EB"/>
    <w:rsid w:val="3227A557"/>
    <w:rsid w:val="324A4AA8"/>
    <w:rsid w:val="3267F7EB"/>
    <w:rsid w:val="3267FF1D"/>
    <w:rsid w:val="327D6461"/>
    <w:rsid w:val="32828D31"/>
    <w:rsid w:val="328E4A39"/>
    <w:rsid w:val="328FD81B"/>
    <w:rsid w:val="32CA8EAA"/>
    <w:rsid w:val="32E686D5"/>
    <w:rsid w:val="32E6FF85"/>
    <w:rsid w:val="32E7E674"/>
    <w:rsid w:val="32EEED0B"/>
    <w:rsid w:val="32F1FC38"/>
    <w:rsid w:val="32F904F4"/>
    <w:rsid w:val="330C4A67"/>
    <w:rsid w:val="33123851"/>
    <w:rsid w:val="3319BB61"/>
    <w:rsid w:val="336A553A"/>
    <w:rsid w:val="337FBA33"/>
    <w:rsid w:val="3388AF65"/>
    <w:rsid w:val="33A5D5C8"/>
    <w:rsid w:val="33B8028F"/>
    <w:rsid w:val="33C0CDE3"/>
    <w:rsid w:val="33C19D0E"/>
    <w:rsid w:val="33C83C5F"/>
    <w:rsid w:val="33CB6243"/>
    <w:rsid w:val="33CB7469"/>
    <w:rsid w:val="33DA16EC"/>
    <w:rsid w:val="33EC2762"/>
    <w:rsid w:val="33ECD577"/>
    <w:rsid w:val="33EF5D2B"/>
    <w:rsid w:val="340590CE"/>
    <w:rsid w:val="34184BEE"/>
    <w:rsid w:val="3455F339"/>
    <w:rsid w:val="348CA4B1"/>
    <w:rsid w:val="348EE26F"/>
    <w:rsid w:val="349BF843"/>
    <w:rsid w:val="34AC0EF5"/>
    <w:rsid w:val="34D5D273"/>
    <w:rsid w:val="34FEA303"/>
    <w:rsid w:val="35138F26"/>
    <w:rsid w:val="351E2D88"/>
    <w:rsid w:val="35236AA5"/>
    <w:rsid w:val="35321A40"/>
    <w:rsid w:val="3534FFA1"/>
    <w:rsid w:val="355F19DF"/>
    <w:rsid w:val="3579AF6F"/>
    <w:rsid w:val="358A8033"/>
    <w:rsid w:val="3594EBB5"/>
    <w:rsid w:val="3596803E"/>
    <w:rsid w:val="35A27273"/>
    <w:rsid w:val="35D8CE03"/>
    <w:rsid w:val="35DE4EED"/>
    <w:rsid w:val="35E2627A"/>
    <w:rsid w:val="35E61A99"/>
    <w:rsid w:val="362FDB1E"/>
    <w:rsid w:val="36368852"/>
    <w:rsid w:val="368F17D3"/>
    <w:rsid w:val="368F7B23"/>
    <w:rsid w:val="369D787B"/>
    <w:rsid w:val="36A80449"/>
    <w:rsid w:val="36B6738E"/>
    <w:rsid w:val="36BD2AAF"/>
    <w:rsid w:val="36C766EB"/>
    <w:rsid w:val="36D29241"/>
    <w:rsid w:val="36E0DCFA"/>
    <w:rsid w:val="36F19A8E"/>
    <w:rsid w:val="37209D23"/>
    <w:rsid w:val="376C53A6"/>
    <w:rsid w:val="37789D26"/>
    <w:rsid w:val="378A9C3C"/>
    <w:rsid w:val="3792C1A1"/>
    <w:rsid w:val="37B2720F"/>
    <w:rsid w:val="37BA70A8"/>
    <w:rsid w:val="37C1C6B6"/>
    <w:rsid w:val="37D6D143"/>
    <w:rsid w:val="37E86E6A"/>
    <w:rsid w:val="37FF9F55"/>
    <w:rsid w:val="38082E64"/>
    <w:rsid w:val="382573AF"/>
    <w:rsid w:val="383F02E5"/>
    <w:rsid w:val="38AE8312"/>
    <w:rsid w:val="38CE8E4F"/>
    <w:rsid w:val="39203A1A"/>
    <w:rsid w:val="393028A2"/>
    <w:rsid w:val="39372862"/>
    <w:rsid w:val="393F23CA"/>
    <w:rsid w:val="3986BA98"/>
    <w:rsid w:val="3992902C"/>
    <w:rsid w:val="39BB5A84"/>
    <w:rsid w:val="39BF7A89"/>
    <w:rsid w:val="39CF32AF"/>
    <w:rsid w:val="39D977C7"/>
    <w:rsid w:val="3A015B08"/>
    <w:rsid w:val="3A1F77DC"/>
    <w:rsid w:val="3A2A3EC7"/>
    <w:rsid w:val="3A3FDBEA"/>
    <w:rsid w:val="3A47CA9C"/>
    <w:rsid w:val="3A704A5E"/>
    <w:rsid w:val="3AA7D9C1"/>
    <w:rsid w:val="3AB79E33"/>
    <w:rsid w:val="3AB84F53"/>
    <w:rsid w:val="3AC7F96C"/>
    <w:rsid w:val="3AFDDBB9"/>
    <w:rsid w:val="3B025BB5"/>
    <w:rsid w:val="3B149E4F"/>
    <w:rsid w:val="3B227500"/>
    <w:rsid w:val="3B26E418"/>
    <w:rsid w:val="3B2A6784"/>
    <w:rsid w:val="3B4681C9"/>
    <w:rsid w:val="3B4A1E52"/>
    <w:rsid w:val="3B4F6CE8"/>
    <w:rsid w:val="3B79F5B2"/>
    <w:rsid w:val="3B7B5DF7"/>
    <w:rsid w:val="3B84C3EC"/>
    <w:rsid w:val="3BBA9E93"/>
    <w:rsid w:val="3BBD7F00"/>
    <w:rsid w:val="3BC42A1C"/>
    <w:rsid w:val="3BCD7C9F"/>
    <w:rsid w:val="3BE5D5C8"/>
    <w:rsid w:val="3BEEAA45"/>
    <w:rsid w:val="3BFDB671"/>
    <w:rsid w:val="3C05021A"/>
    <w:rsid w:val="3C0EC839"/>
    <w:rsid w:val="3C137D48"/>
    <w:rsid w:val="3C5107CE"/>
    <w:rsid w:val="3C635707"/>
    <w:rsid w:val="3C83CA19"/>
    <w:rsid w:val="3CAA7A8A"/>
    <w:rsid w:val="3CF0D57A"/>
    <w:rsid w:val="3CF61187"/>
    <w:rsid w:val="3D080AB1"/>
    <w:rsid w:val="3D2A4655"/>
    <w:rsid w:val="3D2F716C"/>
    <w:rsid w:val="3D46C2A7"/>
    <w:rsid w:val="3D9665DC"/>
    <w:rsid w:val="3DB9FAD8"/>
    <w:rsid w:val="3DE960D2"/>
    <w:rsid w:val="3DFAE109"/>
    <w:rsid w:val="3E29B22C"/>
    <w:rsid w:val="3E319FB2"/>
    <w:rsid w:val="3E35C2FF"/>
    <w:rsid w:val="3E3AF989"/>
    <w:rsid w:val="3E3D573E"/>
    <w:rsid w:val="3E42DA89"/>
    <w:rsid w:val="3E4E3C3C"/>
    <w:rsid w:val="3E74CBEB"/>
    <w:rsid w:val="3E7B3B5B"/>
    <w:rsid w:val="3E8285B6"/>
    <w:rsid w:val="3E9872EA"/>
    <w:rsid w:val="3EA2EF93"/>
    <w:rsid w:val="3EB7018B"/>
    <w:rsid w:val="3EC4FDD6"/>
    <w:rsid w:val="3EC8EE26"/>
    <w:rsid w:val="3EE0BE46"/>
    <w:rsid w:val="3EE36CC5"/>
    <w:rsid w:val="3F33EE22"/>
    <w:rsid w:val="3F4E4612"/>
    <w:rsid w:val="3F507432"/>
    <w:rsid w:val="3F6FB669"/>
    <w:rsid w:val="3F964675"/>
    <w:rsid w:val="3FCAC561"/>
    <w:rsid w:val="3FD6A92F"/>
    <w:rsid w:val="3FF071A6"/>
    <w:rsid w:val="3FF52291"/>
    <w:rsid w:val="40668C4B"/>
    <w:rsid w:val="40738B7F"/>
    <w:rsid w:val="40739F7E"/>
    <w:rsid w:val="40ABEAEF"/>
    <w:rsid w:val="40CC5CEA"/>
    <w:rsid w:val="40D8733D"/>
    <w:rsid w:val="40FC7C67"/>
    <w:rsid w:val="410B86CA"/>
    <w:rsid w:val="4123EA38"/>
    <w:rsid w:val="4154EAFB"/>
    <w:rsid w:val="417A7B4B"/>
    <w:rsid w:val="418C4207"/>
    <w:rsid w:val="41940ECA"/>
    <w:rsid w:val="41B827BF"/>
    <w:rsid w:val="41DDFB5B"/>
    <w:rsid w:val="41E9C69E"/>
    <w:rsid w:val="41FC4326"/>
    <w:rsid w:val="420056EF"/>
    <w:rsid w:val="42021AF0"/>
    <w:rsid w:val="424FA1DF"/>
    <w:rsid w:val="426AA37A"/>
    <w:rsid w:val="429642F7"/>
    <w:rsid w:val="4298E46C"/>
    <w:rsid w:val="429F4153"/>
    <w:rsid w:val="42BC8404"/>
    <w:rsid w:val="42C1B3F8"/>
    <w:rsid w:val="42CC1CD1"/>
    <w:rsid w:val="42D7ABBD"/>
    <w:rsid w:val="42E5DE93"/>
    <w:rsid w:val="42F4453D"/>
    <w:rsid w:val="433CDEFF"/>
    <w:rsid w:val="4355F6D9"/>
    <w:rsid w:val="436150AD"/>
    <w:rsid w:val="43ABD928"/>
    <w:rsid w:val="43BF2BF0"/>
    <w:rsid w:val="43D749B5"/>
    <w:rsid w:val="43EDECCD"/>
    <w:rsid w:val="441D5DCB"/>
    <w:rsid w:val="44370E8F"/>
    <w:rsid w:val="4440F765"/>
    <w:rsid w:val="4448CA3E"/>
    <w:rsid w:val="44A297E5"/>
    <w:rsid w:val="44CFE164"/>
    <w:rsid w:val="44F2A3A9"/>
    <w:rsid w:val="4518B25E"/>
    <w:rsid w:val="452EFCF9"/>
    <w:rsid w:val="45340C98"/>
    <w:rsid w:val="4551474C"/>
    <w:rsid w:val="457CCACE"/>
    <w:rsid w:val="457EAD92"/>
    <w:rsid w:val="458EAB66"/>
    <w:rsid w:val="45ED283C"/>
    <w:rsid w:val="45F954BA"/>
    <w:rsid w:val="463D1CB9"/>
    <w:rsid w:val="463D3F93"/>
    <w:rsid w:val="46722045"/>
    <w:rsid w:val="4694D3DC"/>
    <w:rsid w:val="46A5EB17"/>
    <w:rsid w:val="46C2C5D8"/>
    <w:rsid w:val="470C4ED3"/>
    <w:rsid w:val="474ECD66"/>
    <w:rsid w:val="474FDF63"/>
    <w:rsid w:val="47659014"/>
    <w:rsid w:val="47783DAD"/>
    <w:rsid w:val="47955E5E"/>
    <w:rsid w:val="479B42AE"/>
    <w:rsid w:val="47AFF966"/>
    <w:rsid w:val="47B56FEF"/>
    <w:rsid w:val="47C7B660"/>
    <w:rsid w:val="47CCE7DA"/>
    <w:rsid w:val="47F7D65F"/>
    <w:rsid w:val="484BE68B"/>
    <w:rsid w:val="488F3A1E"/>
    <w:rsid w:val="48CA9978"/>
    <w:rsid w:val="48D7FF40"/>
    <w:rsid w:val="48EA9DC7"/>
    <w:rsid w:val="49320E13"/>
    <w:rsid w:val="495F17F7"/>
    <w:rsid w:val="49AAF02E"/>
    <w:rsid w:val="49B446DA"/>
    <w:rsid w:val="49BC09FE"/>
    <w:rsid w:val="49CACA4A"/>
    <w:rsid w:val="49EA6BAA"/>
    <w:rsid w:val="49F11FA7"/>
    <w:rsid w:val="4A0B68D4"/>
    <w:rsid w:val="4A1B1AAC"/>
    <w:rsid w:val="4A29584F"/>
    <w:rsid w:val="4A7773D0"/>
    <w:rsid w:val="4A7F21F1"/>
    <w:rsid w:val="4AEFF3C6"/>
    <w:rsid w:val="4B207D5B"/>
    <w:rsid w:val="4B4BE63D"/>
    <w:rsid w:val="4B716EB4"/>
    <w:rsid w:val="4B7622FA"/>
    <w:rsid w:val="4BA19B51"/>
    <w:rsid w:val="4BAC4A19"/>
    <w:rsid w:val="4BB6EB0D"/>
    <w:rsid w:val="4BC58400"/>
    <w:rsid w:val="4BD39C1D"/>
    <w:rsid w:val="4BF14915"/>
    <w:rsid w:val="4BF2E1D0"/>
    <w:rsid w:val="4C1DAEA0"/>
    <w:rsid w:val="4C26E740"/>
    <w:rsid w:val="4C8D6BC0"/>
    <w:rsid w:val="4CB291D8"/>
    <w:rsid w:val="4CB9AF07"/>
    <w:rsid w:val="4CE6AC2C"/>
    <w:rsid w:val="4D0BB1AF"/>
    <w:rsid w:val="4D152C9B"/>
    <w:rsid w:val="4D3C97EA"/>
    <w:rsid w:val="4D5F0ECE"/>
    <w:rsid w:val="4D67F186"/>
    <w:rsid w:val="4D76DBFF"/>
    <w:rsid w:val="4DB03422"/>
    <w:rsid w:val="4DB15C07"/>
    <w:rsid w:val="4DD432A0"/>
    <w:rsid w:val="4DEA4CBA"/>
    <w:rsid w:val="4E0D9ED5"/>
    <w:rsid w:val="4E815FAC"/>
    <w:rsid w:val="4E89E7D7"/>
    <w:rsid w:val="4E9190DB"/>
    <w:rsid w:val="4E933E4E"/>
    <w:rsid w:val="4EBA6382"/>
    <w:rsid w:val="4EF5D082"/>
    <w:rsid w:val="4F13B3F6"/>
    <w:rsid w:val="4F1479EF"/>
    <w:rsid w:val="4F15F717"/>
    <w:rsid w:val="4F3EE8D1"/>
    <w:rsid w:val="4F4A096C"/>
    <w:rsid w:val="4F500AFA"/>
    <w:rsid w:val="4F671062"/>
    <w:rsid w:val="4F896E46"/>
    <w:rsid w:val="4FAD962A"/>
    <w:rsid w:val="4FAE31A0"/>
    <w:rsid w:val="4FD9F45A"/>
    <w:rsid w:val="4FF827B8"/>
    <w:rsid w:val="4FFED34A"/>
    <w:rsid w:val="500946CB"/>
    <w:rsid w:val="500CCBE8"/>
    <w:rsid w:val="501E1828"/>
    <w:rsid w:val="504CCD5D"/>
    <w:rsid w:val="50716344"/>
    <w:rsid w:val="50D56FC6"/>
    <w:rsid w:val="510F1477"/>
    <w:rsid w:val="512065E8"/>
    <w:rsid w:val="5138A2CA"/>
    <w:rsid w:val="5155A598"/>
    <w:rsid w:val="517776B8"/>
    <w:rsid w:val="517816A7"/>
    <w:rsid w:val="517F643E"/>
    <w:rsid w:val="518E9FCA"/>
    <w:rsid w:val="51D1933F"/>
    <w:rsid w:val="51F582B7"/>
    <w:rsid w:val="521E7F69"/>
    <w:rsid w:val="524BBB0B"/>
    <w:rsid w:val="5259B850"/>
    <w:rsid w:val="526843D7"/>
    <w:rsid w:val="52750074"/>
    <w:rsid w:val="527E0DE8"/>
    <w:rsid w:val="527F317D"/>
    <w:rsid w:val="5284CD2A"/>
    <w:rsid w:val="5289C9E3"/>
    <w:rsid w:val="52A366BF"/>
    <w:rsid w:val="52BBA1FA"/>
    <w:rsid w:val="52CDC38D"/>
    <w:rsid w:val="52D00A45"/>
    <w:rsid w:val="52D12873"/>
    <w:rsid w:val="5301DC47"/>
    <w:rsid w:val="5306B1A9"/>
    <w:rsid w:val="534596D8"/>
    <w:rsid w:val="53797871"/>
    <w:rsid w:val="5387219B"/>
    <w:rsid w:val="53902805"/>
    <w:rsid w:val="5391BB15"/>
    <w:rsid w:val="53970BBF"/>
    <w:rsid w:val="539F899F"/>
    <w:rsid w:val="53E7FDAF"/>
    <w:rsid w:val="53EDC370"/>
    <w:rsid w:val="53FCA385"/>
    <w:rsid w:val="54015C0D"/>
    <w:rsid w:val="542E254F"/>
    <w:rsid w:val="547748C8"/>
    <w:rsid w:val="5486860C"/>
    <w:rsid w:val="548DDBA9"/>
    <w:rsid w:val="5495DE0A"/>
    <w:rsid w:val="54C5E121"/>
    <w:rsid w:val="54C83FD7"/>
    <w:rsid w:val="54C9DEF7"/>
    <w:rsid w:val="54EEC2A7"/>
    <w:rsid w:val="54FC7CB1"/>
    <w:rsid w:val="5507EB04"/>
    <w:rsid w:val="550F0905"/>
    <w:rsid w:val="5533E5EC"/>
    <w:rsid w:val="5535FCB6"/>
    <w:rsid w:val="5573EFFA"/>
    <w:rsid w:val="55B268DE"/>
    <w:rsid w:val="55C9B682"/>
    <w:rsid w:val="55F31097"/>
    <w:rsid w:val="5654DCDA"/>
    <w:rsid w:val="5655BF3C"/>
    <w:rsid w:val="56643E69"/>
    <w:rsid w:val="56669FEE"/>
    <w:rsid w:val="567E3E88"/>
    <w:rsid w:val="56A7D837"/>
    <w:rsid w:val="56A92DE8"/>
    <w:rsid w:val="56B88724"/>
    <w:rsid w:val="56DDB9BE"/>
    <w:rsid w:val="571C0F1A"/>
    <w:rsid w:val="5731664E"/>
    <w:rsid w:val="57484945"/>
    <w:rsid w:val="5771876D"/>
    <w:rsid w:val="578EBBF1"/>
    <w:rsid w:val="57BB27DF"/>
    <w:rsid w:val="582DA7AD"/>
    <w:rsid w:val="58376FCF"/>
    <w:rsid w:val="58737F6E"/>
    <w:rsid w:val="588B4BE3"/>
    <w:rsid w:val="58923592"/>
    <w:rsid w:val="5894121F"/>
    <w:rsid w:val="58B5BBCB"/>
    <w:rsid w:val="58C3F4E5"/>
    <w:rsid w:val="58CAA7A2"/>
    <w:rsid w:val="58EC95C7"/>
    <w:rsid w:val="58F2DFFA"/>
    <w:rsid w:val="58F5B3D7"/>
    <w:rsid w:val="591593EF"/>
    <w:rsid w:val="596EBCC1"/>
    <w:rsid w:val="597EECB9"/>
    <w:rsid w:val="5981EDE1"/>
    <w:rsid w:val="5982889D"/>
    <w:rsid w:val="5989E963"/>
    <w:rsid w:val="59DB5C27"/>
    <w:rsid w:val="59F33E27"/>
    <w:rsid w:val="5A0FC7D7"/>
    <w:rsid w:val="5A135845"/>
    <w:rsid w:val="5A1F3390"/>
    <w:rsid w:val="5A22E45D"/>
    <w:rsid w:val="5A392BFC"/>
    <w:rsid w:val="5A44E1C5"/>
    <w:rsid w:val="5A582B53"/>
    <w:rsid w:val="5A666DC8"/>
    <w:rsid w:val="5A87A634"/>
    <w:rsid w:val="5A9D66D3"/>
    <w:rsid w:val="5AA52019"/>
    <w:rsid w:val="5AED6951"/>
    <w:rsid w:val="5AF34B09"/>
    <w:rsid w:val="5B486E17"/>
    <w:rsid w:val="5B51EFEB"/>
    <w:rsid w:val="5B5794F1"/>
    <w:rsid w:val="5B589643"/>
    <w:rsid w:val="5B7321C6"/>
    <w:rsid w:val="5B876D25"/>
    <w:rsid w:val="5B879088"/>
    <w:rsid w:val="5B9C1948"/>
    <w:rsid w:val="5B9C7081"/>
    <w:rsid w:val="5B9F79DD"/>
    <w:rsid w:val="5BC5CA36"/>
    <w:rsid w:val="5BD34803"/>
    <w:rsid w:val="5BE0B226"/>
    <w:rsid w:val="5BF0238A"/>
    <w:rsid w:val="5C0F7B6E"/>
    <w:rsid w:val="5C2BD033"/>
    <w:rsid w:val="5C6A1A9A"/>
    <w:rsid w:val="5CA422DD"/>
    <w:rsid w:val="5CB85FDF"/>
    <w:rsid w:val="5CCE9CA9"/>
    <w:rsid w:val="5CF3CCDF"/>
    <w:rsid w:val="5CF9D48C"/>
    <w:rsid w:val="5D2B5065"/>
    <w:rsid w:val="5D3B4A3E"/>
    <w:rsid w:val="5D4404EB"/>
    <w:rsid w:val="5D4C05DB"/>
    <w:rsid w:val="5D70CCBE"/>
    <w:rsid w:val="5D83891E"/>
    <w:rsid w:val="5DC486D6"/>
    <w:rsid w:val="5E02670B"/>
    <w:rsid w:val="5E082763"/>
    <w:rsid w:val="5E088ECF"/>
    <w:rsid w:val="5E33C7F6"/>
    <w:rsid w:val="5E6E7918"/>
    <w:rsid w:val="5E7C1BFB"/>
    <w:rsid w:val="5E903705"/>
    <w:rsid w:val="5EA7CB66"/>
    <w:rsid w:val="5EAECD4A"/>
    <w:rsid w:val="5EC720C6"/>
    <w:rsid w:val="5ECCA6D3"/>
    <w:rsid w:val="5ED08119"/>
    <w:rsid w:val="5ED71A9F"/>
    <w:rsid w:val="5F1C86F7"/>
    <w:rsid w:val="5F6FD007"/>
    <w:rsid w:val="5F70D7F6"/>
    <w:rsid w:val="5F8892FF"/>
    <w:rsid w:val="5FA663C1"/>
    <w:rsid w:val="5FD55325"/>
    <w:rsid w:val="5FDF5756"/>
    <w:rsid w:val="5FF50C71"/>
    <w:rsid w:val="5FF9B7A7"/>
    <w:rsid w:val="5FFF26AE"/>
    <w:rsid w:val="6000E13F"/>
    <w:rsid w:val="60014A23"/>
    <w:rsid w:val="6008FC90"/>
    <w:rsid w:val="601FFB84"/>
    <w:rsid w:val="60444371"/>
    <w:rsid w:val="604B3435"/>
    <w:rsid w:val="606F795C"/>
    <w:rsid w:val="606FEE80"/>
    <w:rsid w:val="60771603"/>
    <w:rsid w:val="607F2424"/>
    <w:rsid w:val="6090F560"/>
    <w:rsid w:val="6099E8E0"/>
    <w:rsid w:val="60B42349"/>
    <w:rsid w:val="60BB29E0"/>
    <w:rsid w:val="60D4BD5F"/>
    <w:rsid w:val="60D89B99"/>
    <w:rsid w:val="60EE4F8D"/>
    <w:rsid w:val="60F12354"/>
    <w:rsid w:val="6136CEA8"/>
    <w:rsid w:val="6148D040"/>
    <w:rsid w:val="61671C5C"/>
    <w:rsid w:val="61947590"/>
    <w:rsid w:val="61ACD882"/>
    <w:rsid w:val="61B2C7D2"/>
    <w:rsid w:val="61B6D5C1"/>
    <w:rsid w:val="61BD603D"/>
    <w:rsid w:val="61BFC017"/>
    <w:rsid w:val="61C63C96"/>
    <w:rsid w:val="61D99088"/>
    <w:rsid w:val="61E8D63B"/>
    <w:rsid w:val="61F94097"/>
    <w:rsid w:val="621268F4"/>
    <w:rsid w:val="6214B595"/>
    <w:rsid w:val="621905CC"/>
    <w:rsid w:val="624FF3AA"/>
    <w:rsid w:val="6253062F"/>
    <w:rsid w:val="62AFCDCB"/>
    <w:rsid w:val="62B80DEA"/>
    <w:rsid w:val="62E25B30"/>
    <w:rsid w:val="633B9B5E"/>
    <w:rsid w:val="6354A579"/>
    <w:rsid w:val="635C45DF"/>
    <w:rsid w:val="638D6FA9"/>
    <w:rsid w:val="63BD4863"/>
    <w:rsid w:val="63BDD5FD"/>
    <w:rsid w:val="643F8E16"/>
    <w:rsid w:val="644B9E2C"/>
    <w:rsid w:val="645AC455"/>
    <w:rsid w:val="646804A0"/>
    <w:rsid w:val="647D3C68"/>
    <w:rsid w:val="6490C06C"/>
    <w:rsid w:val="64B3C9D1"/>
    <w:rsid w:val="64B7EF01"/>
    <w:rsid w:val="64C23346"/>
    <w:rsid w:val="64E7EE48"/>
    <w:rsid w:val="64E87108"/>
    <w:rsid w:val="652AAB05"/>
    <w:rsid w:val="652EDE51"/>
    <w:rsid w:val="65827463"/>
    <w:rsid w:val="65E69897"/>
    <w:rsid w:val="6601A0ED"/>
    <w:rsid w:val="66206A6D"/>
    <w:rsid w:val="6622E624"/>
    <w:rsid w:val="66274937"/>
    <w:rsid w:val="664AD842"/>
    <w:rsid w:val="6688AE08"/>
    <w:rsid w:val="669234D9"/>
    <w:rsid w:val="6693C4A0"/>
    <w:rsid w:val="66A29ECD"/>
    <w:rsid w:val="66BA5822"/>
    <w:rsid w:val="66CAF8D7"/>
    <w:rsid w:val="670C11C7"/>
    <w:rsid w:val="67151476"/>
    <w:rsid w:val="672364CD"/>
    <w:rsid w:val="674393C1"/>
    <w:rsid w:val="677F8471"/>
    <w:rsid w:val="678C2BA2"/>
    <w:rsid w:val="67952C14"/>
    <w:rsid w:val="67A9F13B"/>
    <w:rsid w:val="67C1900F"/>
    <w:rsid w:val="67C69FB4"/>
    <w:rsid w:val="67E05826"/>
    <w:rsid w:val="680C6D89"/>
    <w:rsid w:val="6823A7D2"/>
    <w:rsid w:val="683C2EE9"/>
    <w:rsid w:val="683C8733"/>
    <w:rsid w:val="6848FCAD"/>
    <w:rsid w:val="687488DE"/>
    <w:rsid w:val="68949BC3"/>
    <w:rsid w:val="68B4BC24"/>
    <w:rsid w:val="68B6DB90"/>
    <w:rsid w:val="68BCCD0F"/>
    <w:rsid w:val="68BF352E"/>
    <w:rsid w:val="68DF038F"/>
    <w:rsid w:val="68DF6422"/>
    <w:rsid w:val="68E84586"/>
    <w:rsid w:val="68F4AFE1"/>
    <w:rsid w:val="690A533B"/>
    <w:rsid w:val="691F0F4F"/>
    <w:rsid w:val="6941ADFB"/>
    <w:rsid w:val="696A7A74"/>
    <w:rsid w:val="697826DF"/>
    <w:rsid w:val="69A099ED"/>
    <w:rsid w:val="69A82C69"/>
    <w:rsid w:val="69BE2F1D"/>
    <w:rsid w:val="69CC86A1"/>
    <w:rsid w:val="69F9DD5B"/>
    <w:rsid w:val="6A010596"/>
    <w:rsid w:val="6A22D236"/>
    <w:rsid w:val="6A33E8D7"/>
    <w:rsid w:val="6A5A01FF"/>
    <w:rsid w:val="6A5B89E0"/>
    <w:rsid w:val="6A8D76A9"/>
    <w:rsid w:val="6ACA9073"/>
    <w:rsid w:val="6AE46E03"/>
    <w:rsid w:val="6AF0D04C"/>
    <w:rsid w:val="6B034AE6"/>
    <w:rsid w:val="6B4AA535"/>
    <w:rsid w:val="6B60EE65"/>
    <w:rsid w:val="6B634DDD"/>
    <w:rsid w:val="6B6709F0"/>
    <w:rsid w:val="6B7FC11A"/>
    <w:rsid w:val="6BA2012F"/>
    <w:rsid w:val="6BBF0899"/>
    <w:rsid w:val="6BD0204F"/>
    <w:rsid w:val="6BD8A035"/>
    <w:rsid w:val="6C1E7297"/>
    <w:rsid w:val="6C4AA122"/>
    <w:rsid w:val="6C4F5AFE"/>
    <w:rsid w:val="6C513554"/>
    <w:rsid w:val="6C56B011"/>
    <w:rsid w:val="6C582EC2"/>
    <w:rsid w:val="6C5E181C"/>
    <w:rsid w:val="6C7F4BBE"/>
    <w:rsid w:val="6CA3325F"/>
    <w:rsid w:val="6CE94B0E"/>
    <w:rsid w:val="6D10CD37"/>
    <w:rsid w:val="6D2887A6"/>
    <w:rsid w:val="6D464C0D"/>
    <w:rsid w:val="6D4A238D"/>
    <w:rsid w:val="6D5E3D91"/>
    <w:rsid w:val="6D7A9E49"/>
    <w:rsid w:val="6D8A8BB4"/>
    <w:rsid w:val="6D91A2C1"/>
    <w:rsid w:val="6DC4CC40"/>
    <w:rsid w:val="6DD1DAE1"/>
    <w:rsid w:val="6DE0AE77"/>
    <w:rsid w:val="6DEAAA03"/>
    <w:rsid w:val="6DF28072"/>
    <w:rsid w:val="6E2B868B"/>
    <w:rsid w:val="6E4DE7CF"/>
    <w:rsid w:val="6E58323A"/>
    <w:rsid w:val="6E988F27"/>
    <w:rsid w:val="6E9E999F"/>
    <w:rsid w:val="6EAE289D"/>
    <w:rsid w:val="6ED5C97C"/>
    <w:rsid w:val="6ED6DD12"/>
    <w:rsid w:val="6EE5F3EE"/>
    <w:rsid w:val="6F0F8C8C"/>
    <w:rsid w:val="6F2B2846"/>
    <w:rsid w:val="6F302362"/>
    <w:rsid w:val="6F4EA5A6"/>
    <w:rsid w:val="6F52F201"/>
    <w:rsid w:val="6F5BBB9B"/>
    <w:rsid w:val="6F5F889B"/>
    <w:rsid w:val="6F6036B7"/>
    <w:rsid w:val="6F612CE4"/>
    <w:rsid w:val="6F67F0E9"/>
    <w:rsid w:val="6F862CDC"/>
    <w:rsid w:val="6FA34D94"/>
    <w:rsid w:val="6FBC503F"/>
    <w:rsid w:val="6FCC50DB"/>
    <w:rsid w:val="6FD189BF"/>
    <w:rsid w:val="6FD7BEFA"/>
    <w:rsid w:val="70181B2F"/>
    <w:rsid w:val="7028C293"/>
    <w:rsid w:val="702A791F"/>
    <w:rsid w:val="7043642C"/>
    <w:rsid w:val="7053D3F6"/>
    <w:rsid w:val="7056FC74"/>
    <w:rsid w:val="70664C9F"/>
    <w:rsid w:val="7073753A"/>
    <w:rsid w:val="70768947"/>
    <w:rsid w:val="70961541"/>
    <w:rsid w:val="709742AD"/>
    <w:rsid w:val="70A8C613"/>
    <w:rsid w:val="70D8E86D"/>
    <w:rsid w:val="70EA7607"/>
    <w:rsid w:val="70EA7EC1"/>
    <w:rsid w:val="70F3A6D5"/>
    <w:rsid w:val="70FDF111"/>
    <w:rsid w:val="710022A7"/>
    <w:rsid w:val="711C4B59"/>
    <w:rsid w:val="71332F6A"/>
    <w:rsid w:val="71599C8C"/>
    <w:rsid w:val="716C7C33"/>
    <w:rsid w:val="71738651"/>
    <w:rsid w:val="71794A05"/>
    <w:rsid w:val="718B6C06"/>
    <w:rsid w:val="719F5B44"/>
    <w:rsid w:val="71AC4627"/>
    <w:rsid w:val="71D02FE9"/>
    <w:rsid w:val="71E43E5A"/>
    <w:rsid w:val="71F7CC79"/>
    <w:rsid w:val="71FD66B7"/>
    <w:rsid w:val="720F3A6B"/>
    <w:rsid w:val="7231AEB4"/>
    <w:rsid w:val="723293BA"/>
    <w:rsid w:val="72599386"/>
    <w:rsid w:val="726D2190"/>
    <w:rsid w:val="727D6856"/>
    <w:rsid w:val="72A2C7C9"/>
    <w:rsid w:val="73480F23"/>
    <w:rsid w:val="73515D6F"/>
    <w:rsid w:val="7360E0FE"/>
    <w:rsid w:val="736A7FA8"/>
    <w:rsid w:val="7381DC6E"/>
    <w:rsid w:val="73869F94"/>
    <w:rsid w:val="738F539D"/>
    <w:rsid w:val="73939CDA"/>
    <w:rsid w:val="739C2301"/>
    <w:rsid w:val="73A0B45E"/>
    <w:rsid w:val="73A2D3B6"/>
    <w:rsid w:val="73BCE5FB"/>
    <w:rsid w:val="73C21E76"/>
    <w:rsid w:val="73DD44E3"/>
    <w:rsid w:val="73E4542A"/>
    <w:rsid w:val="73EF0764"/>
    <w:rsid w:val="73FEC81D"/>
    <w:rsid w:val="7408D3F3"/>
    <w:rsid w:val="742216C9"/>
    <w:rsid w:val="74346D61"/>
    <w:rsid w:val="74383B32"/>
    <w:rsid w:val="743E982A"/>
    <w:rsid w:val="7457C087"/>
    <w:rsid w:val="745FCDD5"/>
    <w:rsid w:val="747DB0F7"/>
    <w:rsid w:val="74AFDEEE"/>
    <w:rsid w:val="74B79AAB"/>
    <w:rsid w:val="74B82012"/>
    <w:rsid w:val="74B945D0"/>
    <w:rsid w:val="74CA7AFD"/>
    <w:rsid w:val="74F4B2C6"/>
    <w:rsid w:val="752F6D3B"/>
    <w:rsid w:val="7547DCD1"/>
    <w:rsid w:val="75646D73"/>
    <w:rsid w:val="757DD8AD"/>
    <w:rsid w:val="759EADDA"/>
    <w:rsid w:val="75A3F293"/>
    <w:rsid w:val="75A9B2DE"/>
    <w:rsid w:val="75AA0A18"/>
    <w:rsid w:val="75BDE72A"/>
    <w:rsid w:val="75D10443"/>
    <w:rsid w:val="75F390E8"/>
    <w:rsid w:val="75FFBE17"/>
    <w:rsid w:val="761B167B"/>
    <w:rsid w:val="762C03E2"/>
    <w:rsid w:val="762E8B7E"/>
    <w:rsid w:val="764553A7"/>
    <w:rsid w:val="7647D1B7"/>
    <w:rsid w:val="7694656C"/>
    <w:rsid w:val="76B1542F"/>
    <w:rsid w:val="76C6342C"/>
    <w:rsid w:val="76D6A9E1"/>
    <w:rsid w:val="77034CA3"/>
    <w:rsid w:val="770AEB9C"/>
    <w:rsid w:val="77180797"/>
    <w:rsid w:val="772BCBEF"/>
    <w:rsid w:val="77587270"/>
    <w:rsid w:val="775A3D39"/>
    <w:rsid w:val="777E9FDD"/>
    <w:rsid w:val="778010F3"/>
    <w:rsid w:val="7791B560"/>
    <w:rsid w:val="779CF3F9"/>
    <w:rsid w:val="779FD549"/>
    <w:rsid w:val="77BAC28A"/>
    <w:rsid w:val="77C4D240"/>
    <w:rsid w:val="77D32948"/>
    <w:rsid w:val="77FE768D"/>
    <w:rsid w:val="782A6D58"/>
    <w:rsid w:val="78438580"/>
    <w:rsid w:val="78460999"/>
    <w:rsid w:val="787370D5"/>
    <w:rsid w:val="78992A1E"/>
    <w:rsid w:val="789B6549"/>
    <w:rsid w:val="78B52702"/>
    <w:rsid w:val="78E1BFD9"/>
    <w:rsid w:val="792F7DF3"/>
    <w:rsid w:val="794EB50F"/>
    <w:rsid w:val="79783399"/>
    <w:rsid w:val="79820580"/>
    <w:rsid w:val="79C63DB9"/>
    <w:rsid w:val="79E54A93"/>
    <w:rsid w:val="79F51978"/>
    <w:rsid w:val="79FE3CE9"/>
    <w:rsid w:val="7A02FE7E"/>
    <w:rsid w:val="7A4F6A40"/>
    <w:rsid w:val="7A4FA859"/>
    <w:rsid w:val="7A70BD41"/>
    <w:rsid w:val="7A98EAC9"/>
    <w:rsid w:val="7AA0CB8E"/>
    <w:rsid w:val="7AAD6C1F"/>
    <w:rsid w:val="7ADAF589"/>
    <w:rsid w:val="7B07FCEB"/>
    <w:rsid w:val="7B1E310F"/>
    <w:rsid w:val="7B305C4E"/>
    <w:rsid w:val="7B4AC018"/>
    <w:rsid w:val="7B4F5FBB"/>
    <w:rsid w:val="7B7AEB59"/>
    <w:rsid w:val="7B9E4FFC"/>
    <w:rsid w:val="7BB53113"/>
    <w:rsid w:val="7BE6688F"/>
    <w:rsid w:val="7BEAF994"/>
    <w:rsid w:val="7C10EFC0"/>
    <w:rsid w:val="7C5E1AB6"/>
    <w:rsid w:val="7C7774E8"/>
    <w:rsid w:val="7C77C643"/>
    <w:rsid w:val="7C79944B"/>
    <w:rsid w:val="7C8496B0"/>
    <w:rsid w:val="7C9016C3"/>
    <w:rsid w:val="7C911C66"/>
    <w:rsid w:val="7C9B9E9C"/>
    <w:rsid w:val="7CAA099A"/>
    <w:rsid w:val="7CCC53ED"/>
    <w:rsid w:val="7CDBDE87"/>
    <w:rsid w:val="7CDE8087"/>
    <w:rsid w:val="7D0B1AEA"/>
    <w:rsid w:val="7D6E20BE"/>
    <w:rsid w:val="7DC54C77"/>
    <w:rsid w:val="7DFB48CE"/>
    <w:rsid w:val="7E22AFA7"/>
    <w:rsid w:val="7E306C57"/>
    <w:rsid w:val="7E3354FB"/>
    <w:rsid w:val="7E38A9D9"/>
    <w:rsid w:val="7E605344"/>
    <w:rsid w:val="7E7D2252"/>
    <w:rsid w:val="7EAFFD87"/>
    <w:rsid w:val="7EC1AA48"/>
    <w:rsid w:val="7ED64F81"/>
    <w:rsid w:val="7EE37185"/>
    <w:rsid w:val="7EECBCB8"/>
    <w:rsid w:val="7F025DB5"/>
    <w:rsid w:val="7F09F11F"/>
    <w:rsid w:val="7F188734"/>
    <w:rsid w:val="7F1F870A"/>
    <w:rsid w:val="7F4B577F"/>
    <w:rsid w:val="7F601DF1"/>
    <w:rsid w:val="7F793F70"/>
    <w:rsid w:val="7F8AC8AE"/>
    <w:rsid w:val="7FA0C9B5"/>
    <w:rsid w:val="7FA4749D"/>
    <w:rsid w:val="7FCEC6BB"/>
    <w:rsid w:val="7FDC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paragraph" w:styleId="Nadpis3">
    <w:name w:val="heading 3"/>
    <w:basedOn w:val="Normln"/>
    <w:next w:val="Normln"/>
    <w:link w:val="Nadpis3Char"/>
    <w:uiPriority w:val="9"/>
    <w:semiHidden/>
    <w:unhideWhenUsed/>
    <w:qFormat/>
    <w:rsid w:val="00E5338E"/>
    <w:pPr>
      <w:keepNext/>
      <w:keepLines/>
      <w:spacing w:before="40"/>
      <w:outlineLvl w:val="2"/>
    </w:pPr>
    <w:rPr>
      <w:rFonts w:asciiTheme="majorHAnsi" w:eastAsiaTheme="majorEastAsia" w:hAnsiTheme="majorHAnsi" w:cstheme="majorBidi"/>
      <w:color w:val="0F1B32"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007C1420"/>
    <w:rPr>
      <w:sz w:val="20"/>
      <w:szCs w:val="20"/>
    </w:rPr>
  </w:style>
  <w:style w:type="character" w:customStyle="1" w:styleId="TextkomenteChar">
    <w:name w:val="Text komentáře Char"/>
    <w:basedOn w:val="Standardnpsmoodstavce"/>
    <w:link w:val="Textkomente"/>
    <w:uiPriority w:val="99"/>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paragraph" w:styleId="Textpoznpodarou">
    <w:name w:val="footnote text"/>
    <w:basedOn w:val="Normln"/>
    <w:link w:val="TextpoznpodarouChar"/>
    <w:uiPriority w:val="99"/>
    <w:rsid w:val="00D43EBE"/>
    <w:rPr>
      <w:sz w:val="20"/>
      <w:szCs w:val="20"/>
    </w:rPr>
  </w:style>
  <w:style w:type="character" w:customStyle="1" w:styleId="TextpoznpodarouChar">
    <w:name w:val="Text pozn. pod čarou Char"/>
    <w:basedOn w:val="Standardnpsmoodstavce"/>
    <w:link w:val="Textpoznpodarou"/>
    <w:uiPriority w:val="99"/>
    <w:rsid w:val="00D43EBE"/>
    <w:rPr>
      <w:rFonts w:ascii="Times New Roman" w:eastAsia="Times New Roman" w:hAnsi="Times New Roman" w:cs="Times New Roman"/>
      <w:sz w:val="20"/>
      <w:szCs w:val="20"/>
      <w:lang w:eastAsia="en-US"/>
    </w:rPr>
  </w:style>
  <w:style w:type="character" w:styleId="Znakapoznpodarou">
    <w:name w:val="footnote reference"/>
    <w:uiPriority w:val="99"/>
    <w:rsid w:val="00D43EBE"/>
    <w:rPr>
      <w:vertAlign w:val="superscript"/>
    </w:rPr>
  </w:style>
  <w:style w:type="paragraph" w:styleId="Odstavecseseznamem">
    <w:name w:val="List Paragraph"/>
    <w:basedOn w:val="Normln"/>
    <w:uiPriority w:val="34"/>
    <w:qFormat/>
    <w:rsid w:val="007678F4"/>
    <w:pPr>
      <w:ind w:left="720"/>
    </w:pPr>
    <w:rPr>
      <w:rFonts w:ascii="Calibri" w:eastAsiaTheme="minorHAnsi" w:hAnsi="Calibri" w:cs="Calibri"/>
      <w:sz w:val="22"/>
      <w:szCs w:val="22"/>
      <w:lang w:val="cs-CZ"/>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search-term-highlight">
    <w:name w:val="search-term-highlight"/>
    <w:basedOn w:val="Standardnpsmoodstavce"/>
    <w:rsid w:val="007A4FA0"/>
  </w:style>
  <w:style w:type="character" w:styleId="Siln">
    <w:name w:val="Strong"/>
    <w:basedOn w:val="Standardnpsmoodstavce"/>
    <w:uiPriority w:val="22"/>
    <w:qFormat/>
    <w:rsid w:val="007A4FA0"/>
    <w:rPr>
      <w:b/>
      <w:bCs/>
    </w:rPr>
  </w:style>
  <w:style w:type="character" w:styleId="Zdraznn">
    <w:name w:val="Emphasis"/>
    <w:basedOn w:val="Standardnpsmoodstavce"/>
    <w:uiPriority w:val="20"/>
    <w:qFormat/>
    <w:rsid w:val="00E5338E"/>
    <w:rPr>
      <w:i/>
      <w:iCs/>
    </w:rPr>
  </w:style>
  <w:style w:type="character" w:customStyle="1" w:styleId="Nadpis3Char">
    <w:name w:val="Nadpis 3 Char"/>
    <w:basedOn w:val="Standardnpsmoodstavce"/>
    <w:link w:val="Nadpis3"/>
    <w:uiPriority w:val="9"/>
    <w:semiHidden/>
    <w:rsid w:val="00E5338E"/>
    <w:rPr>
      <w:rFonts w:asciiTheme="majorHAnsi" w:eastAsiaTheme="majorEastAsia" w:hAnsiTheme="majorHAnsi" w:cstheme="majorBidi"/>
      <w:color w:val="0F1B32" w:themeColor="accent1" w:themeShade="7F"/>
      <w:sz w:val="24"/>
      <w:szCs w:val="24"/>
      <w:lang w:eastAsia="en-US"/>
    </w:rPr>
  </w:style>
  <w:style w:type="paragraph" w:customStyle="1" w:styleId="paragraph">
    <w:name w:val="paragraph"/>
    <w:basedOn w:val="Normln"/>
    <w:rsid w:val="004F5891"/>
    <w:pPr>
      <w:spacing w:before="100" w:beforeAutospacing="1" w:after="100" w:afterAutospacing="1"/>
    </w:pPr>
    <w:rPr>
      <w:lang w:val="cs-CZ" w:eastAsia="cs-CZ"/>
    </w:rPr>
  </w:style>
  <w:style w:type="character" w:customStyle="1" w:styleId="spellingerror">
    <w:name w:val="spellingerror"/>
    <w:basedOn w:val="Standardnpsmoodstavce"/>
    <w:rsid w:val="004F5891"/>
  </w:style>
  <w:style w:type="character" w:customStyle="1" w:styleId="scxw106638316">
    <w:name w:val="scxw106638316"/>
    <w:basedOn w:val="Standardnpsmoodstavce"/>
    <w:rsid w:val="004F5891"/>
  </w:style>
  <w:style w:type="character" w:customStyle="1" w:styleId="eop">
    <w:name w:val="eop"/>
    <w:basedOn w:val="Standardnpsmoodstavce"/>
    <w:rsid w:val="004F5891"/>
  </w:style>
  <w:style w:type="character" w:customStyle="1" w:styleId="tabchar">
    <w:name w:val="tabchar"/>
    <w:basedOn w:val="Standardnpsmoodstavce"/>
    <w:rsid w:val="004F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9007030">
      <w:bodyDiv w:val="1"/>
      <w:marLeft w:val="0"/>
      <w:marRight w:val="0"/>
      <w:marTop w:val="0"/>
      <w:marBottom w:val="0"/>
      <w:divBdr>
        <w:top w:val="none" w:sz="0" w:space="0" w:color="auto"/>
        <w:left w:val="none" w:sz="0" w:space="0" w:color="auto"/>
        <w:bottom w:val="none" w:sz="0" w:space="0" w:color="auto"/>
        <w:right w:val="none" w:sz="0" w:space="0" w:color="auto"/>
      </w:divBdr>
      <w:divsChild>
        <w:div w:id="1059279487">
          <w:marLeft w:val="0"/>
          <w:marRight w:val="0"/>
          <w:marTop w:val="0"/>
          <w:marBottom w:val="0"/>
          <w:divBdr>
            <w:top w:val="none" w:sz="0" w:space="0" w:color="auto"/>
            <w:left w:val="none" w:sz="0" w:space="0" w:color="auto"/>
            <w:bottom w:val="none" w:sz="0" w:space="0" w:color="auto"/>
            <w:right w:val="none" w:sz="0" w:space="0" w:color="auto"/>
          </w:divBdr>
        </w:div>
      </w:divsChild>
    </w:div>
    <w:div w:id="103354977">
      <w:bodyDiv w:val="1"/>
      <w:marLeft w:val="0"/>
      <w:marRight w:val="0"/>
      <w:marTop w:val="0"/>
      <w:marBottom w:val="0"/>
      <w:divBdr>
        <w:top w:val="none" w:sz="0" w:space="0" w:color="auto"/>
        <w:left w:val="none" w:sz="0" w:space="0" w:color="auto"/>
        <w:bottom w:val="none" w:sz="0" w:space="0" w:color="auto"/>
        <w:right w:val="none" w:sz="0" w:space="0" w:color="auto"/>
      </w:divBdr>
      <w:divsChild>
        <w:div w:id="230387446">
          <w:marLeft w:val="0"/>
          <w:marRight w:val="0"/>
          <w:marTop w:val="0"/>
          <w:marBottom w:val="0"/>
          <w:divBdr>
            <w:top w:val="none" w:sz="0" w:space="0" w:color="auto"/>
            <w:left w:val="none" w:sz="0" w:space="0" w:color="auto"/>
            <w:bottom w:val="none" w:sz="0" w:space="0" w:color="auto"/>
            <w:right w:val="none" w:sz="0" w:space="0" w:color="auto"/>
          </w:divBdr>
        </w:div>
      </w:divsChild>
    </w:div>
    <w:div w:id="109473664">
      <w:bodyDiv w:val="1"/>
      <w:marLeft w:val="0"/>
      <w:marRight w:val="0"/>
      <w:marTop w:val="0"/>
      <w:marBottom w:val="0"/>
      <w:divBdr>
        <w:top w:val="none" w:sz="0" w:space="0" w:color="auto"/>
        <w:left w:val="none" w:sz="0" w:space="0" w:color="auto"/>
        <w:bottom w:val="none" w:sz="0" w:space="0" w:color="auto"/>
        <w:right w:val="none" w:sz="0" w:space="0" w:color="auto"/>
      </w:divBdr>
      <w:divsChild>
        <w:div w:id="79329320">
          <w:marLeft w:val="0"/>
          <w:marRight w:val="0"/>
          <w:marTop w:val="0"/>
          <w:marBottom w:val="0"/>
          <w:divBdr>
            <w:top w:val="none" w:sz="0" w:space="0" w:color="auto"/>
            <w:left w:val="none" w:sz="0" w:space="0" w:color="auto"/>
            <w:bottom w:val="none" w:sz="0" w:space="0" w:color="auto"/>
            <w:right w:val="none" w:sz="0" w:space="0" w:color="auto"/>
          </w:divBdr>
        </w:div>
        <w:div w:id="310208478">
          <w:marLeft w:val="0"/>
          <w:marRight w:val="0"/>
          <w:marTop w:val="0"/>
          <w:marBottom w:val="0"/>
          <w:divBdr>
            <w:top w:val="none" w:sz="0" w:space="0" w:color="auto"/>
            <w:left w:val="none" w:sz="0" w:space="0" w:color="auto"/>
            <w:bottom w:val="none" w:sz="0" w:space="0" w:color="auto"/>
            <w:right w:val="none" w:sz="0" w:space="0" w:color="auto"/>
          </w:divBdr>
          <w:divsChild>
            <w:div w:id="41946674">
              <w:marLeft w:val="-75"/>
              <w:marRight w:val="0"/>
              <w:marTop w:val="30"/>
              <w:marBottom w:val="30"/>
              <w:divBdr>
                <w:top w:val="none" w:sz="0" w:space="0" w:color="auto"/>
                <w:left w:val="none" w:sz="0" w:space="0" w:color="auto"/>
                <w:bottom w:val="none" w:sz="0" w:space="0" w:color="auto"/>
                <w:right w:val="none" w:sz="0" w:space="0" w:color="auto"/>
              </w:divBdr>
              <w:divsChild>
                <w:div w:id="1836803829">
                  <w:marLeft w:val="0"/>
                  <w:marRight w:val="0"/>
                  <w:marTop w:val="0"/>
                  <w:marBottom w:val="0"/>
                  <w:divBdr>
                    <w:top w:val="none" w:sz="0" w:space="0" w:color="auto"/>
                    <w:left w:val="none" w:sz="0" w:space="0" w:color="auto"/>
                    <w:bottom w:val="none" w:sz="0" w:space="0" w:color="auto"/>
                    <w:right w:val="none" w:sz="0" w:space="0" w:color="auto"/>
                  </w:divBdr>
                  <w:divsChild>
                    <w:div w:id="887032101">
                      <w:marLeft w:val="0"/>
                      <w:marRight w:val="0"/>
                      <w:marTop w:val="0"/>
                      <w:marBottom w:val="0"/>
                      <w:divBdr>
                        <w:top w:val="none" w:sz="0" w:space="0" w:color="auto"/>
                        <w:left w:val="none" w:sz="0" w:space="0" w:color="auto"/>
                        <w:bottom w:val="none" w:sz="0" w:space="0" w:color="auto"/>
                        <w:right w:val="none" w:sz="0" w:space="0" w:color="auto"/>
                      </w:divBdr>
                    </w:div>
                  </w:divsChild>
                </w:div>
                <w:div w:id="1239362524">
                  <w:marLeft w:val="0"/>
                  <w:marRight w:val="0"/>
                  <w:marTop w:val="0"/>
                  <w:marBottom w:val="0"/>
                  <w:divBdr>
                    <w:top w:val="none" w:sz="0" w:space="0" w:color="auto"/>
                    <w:left w:val="none" w:sz="0" w:space="0" w:color="auto"/>
                    <w:bottom w:val="none" w:sz="0" w:space="0" w:color="auto"/>
                    <w:right w:val="none" w:sz="0" w:space="0" w:color="auto"/>
                  </w:divBdr>
                  <w:divsChild>
                    <w:div w:id="2021277372">
                      <w:marLeft w:val="0"/>
                      <w:marRight w:val="0"/>
                      <w:marTop w:val="0"/>
                      <w:marBottom w:val="0"/>
                      <w:divBdr>
                        <w:top w:val="none" w:sz="0" w:space="0" w:color="auto"/>
                        <w:left w:val="none" w:sz="0" w:space="0" w:color="auto"/>
                        <w:bottom w:val="none" w:sz="0" w:space="0" w:color="auto"/>
                        <w:right w:val="none" w:sz="0" w:space="0" w:color="auto"/>
                      </w:divBdr>
                    </w:div>
                  </w:divsChild>
                </w:div>
                <w:div w:id="844788509">
                  <w:marLeft w:val="0"/>
                  <w:marRight w:val="0"/>
                  <w:marTop w:val="0"/>
                  <w:marBottom w:val="0"/>
                  <w:divBdr>
                    <w:top w:val="none" w:sz="0" w:space="0" w:color="auto"/>
                    <w:left w:val="none" w:sz="0" w:space="0" w:color="auto"/>
                    <w:bottom w:val="none" w:sz="0" w:space="0" w:color="auto"/>
                    <w:right w:val="none" w:sz="0" w:space="0" w:color="auto"/>
                  </w:divBdr>
                  <w:divsChild>
                    <w:div w:id="1014116023">
                      <w:marLeft w:val="0"/>
                      <w:marRight w:val="0"/>
                      <w:marTop w:val="0"/>
                      <w:marBottom w:val="0"/>
                      <w:divBdr>
                        <w:top w:val="none" w:sz="0" w:space="0" w:color="auto"/>
                        <w:left w:val="none" w:sz="0" w:space="0" w:color="auto"/>
                        <w:bottom w:val="none" w:sz="0" w:space="0" w:color="auto"/>
                        <w:right w:val="none" w:sz="0" w:space="0" w:color="auto"/>
                      </w:divBdr>
                    </w:div>
                  </w:divsChild>
                </w:div>
                <w:div w:id="1538853140">
                  <w:marLeft w:val="0"/>
                  <w:marRight w:val="0"/>
                  <w:marTop w:val="0"/>
                  <w:marBottom w:val="0"/>
                  <w:divBdr>
                    <w:top w:val="none" w:sz="0" w:space="0" w:color="auto"/>
                    <w:left w:val="none" w:sz="0" w:space="0" w:color="auto"/>
                    <w:bottom w:val="none" w:sz="0" w:space="0" w:color="auto"/>
                    <w:right w:val="none" w:sz="0" w:space="0" w:color="auto"/>
                  </w:divBdr>
                  <w:divsChild>
                    <w:div w:id="1427118144">
                      <w:marLeft w:val="0"/>
                      <w:marRight w:val="0"/>
                      <w:marTop w:val="0"/>
                      <w:marBottom w:val="0"/>
                      <w:divBdr>
                        <w:top w:val="none" w:sz="0" w:space="0" w:color="auto"/>
                        <w:left w:val="none" w:sz="0" w:space="0" w:color="auto"/>
                        <w:bottom w:val="none" w:sz="0" w:space="0" w:color="auto"/>
                        <w:right w:val="none" w:sz="0" w:space="0" w:color="auto"/>
                      </w:divBdr>
                    </w:div>
                  </w:divsChild>
                </w:div>
                <w:div w:id="1384791854">
                  <w:marLeft w:val="0"/>
                  <w:marRight w:val="0"/>
                  <w:marTop w:val="0"/>
                  <w:marBottom w:val="0"/>
                  <w:divBdr>
                    <w:top w:val="none" w:sz="0" w:space="0" w:color="auto"/>
                    <w:left w:val="none" w:sz="0" w:space="0" w:color="auto"/>
                    <w:bottom w:val="none" w:sz="0" w:space="0" w:color="auto"/>
                    <w:right w:val="none" w:sz="0" w:space="0" w:color="auto"/>
                  </w:divBdr>
                  <w:divsChild>
                    <w:div w:id="1406537464">
                      <w:marLeft w:val="0"/>
                      <w:marRight w:val="0"/>
                      <w:marTop w:val="0"/>
                      <w:marBottom w:val="0"/>
                      <w:divBdr>
                        <w:top w:val="none" w:sz="0" w:space="0" w:color="auto"/>
                        <w:left w:val="none" w:sz="0" w:space="0" w:color="auto"/>
                        <w:bottom w:val="none" w:sz="0" w:space="0" w:color="auto"/>
                        <w:right w:val="none" w:sz="0" w:space="0" w:color="auto"/>
                      </w:divBdr>
                    </w:div>
                  </w:divsChild>
                </w:div>
                <w:div w:id="412892774">
                  <w:marLeft w:val="0"/>
                  <w:marRight w:val="0"/>
                  <w:marTop w:val="0"/>
                  <w:marBottom w:val="0"/>
                  <w:divBdr>
                    <w:top w:val="none" w:sz="0" w:space="0" w:color="auto"/>
                    <w:left w:val="none" w:sz="0" w:space="0" w:color="auto"/>
                    <w:bottom w:val="none" w:sz="0" w:space="0" w:color="auto"/>
                    <w:right w:val="none" w:sz="0" w:space="0" w:color="auto"/>
                  </w:divBdr>
                  <w:divsChild>
                    <w:div w:id="1577202148">
                      <w:marLeft w:val="0"/>
                      <w:marRight w:val="0"/>
                      <w:marTop w:val="0"/>
                      <w:marBottom w:val="0"/>
                      <w:divBdr>
                        <w:top w:val="none" w:sz="0" w:space="0" w:color="auto"/>
                        <w:left w:val="none" w:sz="0" w:space="0" w:color="auto"/>
                        <w:bottom w:val="none" w:sz="0" w:space="0" w:color="auto"/>
                        <w:right w:val="none" w:sz="0" w:space="0" w:color="auto"/>
                      </w:divBdr>
                    </w:div>
                  </w:divsChild>
                </w:div>
                <w:div w:id="2116055174">
                  <w:marLeft w:val="0"/>
                  <w:marRight w:val="0"/>
                  <w:marTop w:val="0"/>
                  <w:marBottom w:val="0"/>
                  <w:divBdr>
                    <w:top w:val="none" w:sz="0" w:space="0" w:color="auto"/>
                    <w:left w:val="none" w:sz="0" w:space="0" w:color="auto"/>
                    <w:bottom w:val="none" w:sz="0" w:space="0" w:color="auto"/>
                    <w:right w:val="none" w:sz="0" w:space="0" w:color="auto"/>
                  </w:divBdr>
                  <w:divsChild>
                    <w:div w:id="2084134391">
                      <w:marLeft w:val="0"/>
                      <w:marRight w:val="0"/>
                      <w:marTop w:val="0"/>
                      <w:marBottom w:val="0"/>
                      <w:divBdr>
                        <w:top w:val="none" w:sz="0" w:space="0" w:color="auto"/>
                        <w:left w:val="none" w:sz="0" w:space="0" w:color="auto"/>
                        <w:bottom w:val="none" w:sz="0" w:space="0" w:color="auto"/>
                        <w:right w:val="none" w:sz="0" w:space="0" w:color="auto"/>
                      </w:divBdr>
                    </w:div>
                  </w:divsChild>
                </w:div>
                <w:div w:id="1538857314">
                  <w:marLeft w:val="0"/>
                  <w:marRight w:val="0"/>
                  <w:marTop w:val="0"/>
                  <w:marBottom w:val="0"/>
                  <w:divBdr>
                    <w:top w:val="none" w:sz="0" w:space="0" w:color="auto"/>
                    <w:left w:val="none" w:sz="0" w:space="0" w:color="auto"/>
                    <w:bottom w:val="none" w:sz="0" w:space="0" w:color="auto"/>
                    <w:right w:val="none" w:sz="0" w:space="0" w:color="auto"/>
                  </w:divBdr>
                  <w:divsChild>
                    <w:div w:id="2003192242">
                      <w:marLeft w:val="0"/>
                      <w:marRight w:val="0"/>
                      <w:marTop w:val="0"/>
                      <w:marBottom w:val="0"/>
                      <w:divBdr>
                        <w:top w:val="none" w:sz="0" w:space="0" w:color="auto"/>
                        <w:left w:val="none" w:sz="0" w:space="0" w:color="auto"/>
                        <w:bottom w:val="none" w:sz="0" w:space="0" w:color="auto"/>
                        <w:right w:val="none" w:sz="0" w:space="0" w:color="auto"/>
                      </w:divBdr>
                    </w:div>
                  </w:divsChild>
                </w:div>
                <w:div w:id="522208475">
                  <w:marLeft w:val="0"/>
                  <w:marRight w:val="0"/>
                  <w:marTop w:val="0"/>
                  <w:marBottom w:val="0"/>
                  <w:divBdr>
                    <w:top w:val="none" w:sz="0" w:space="0" w:color="auto"/>
                    <w:left w:val="none" w:sz="0" w:space="0" w:color="auto"/>
                    <w:bottom w:val="none" w:sz="0" w:space="0" w:color="auto"/>
                    <w:right w:val="none" w:sz="0" w:space="0" w:color="auto"/>
                  </w:divBdr>
                  <w:divsChild>
                    <w:div w:id="1221020191">
                      <w:marLeft w:val="0"/>
                      <w:marRight w:val="0"/>
                      <w:marTop w:val="0"/>
                      <w:marBottom w:val="0"/>
                      <w:divBdr>
                        <w:top w:val="none" w:sz="0" w:space="0" w:color="auto"/>
                        <w:left w:val="none" w:sz="0" w:space="0" w:color="auto"/>
                        <w:bottom w:val="none" w:sz="0" w:space="0" w:color="auto"/>
                        <w:right w:val="none" w:sz="0" w:space="0" w:color="auto"/>
                      </w:divBdr>
                    </w:div>
                  </w:divsChild>
                </w:div>
                <w:div w:id="658078291">
                  <w:marLeft w:val="0"/>
                  <w:marRight w:val="0"/>
                  <w:marTop w:val="0"/>
                  <w:marBottom w:val="0"/>
                  <w:divBdr>
                    <w:top w:val="none" w:sz="0" w:space="0" w:color="auto"/>
                    <w:left w:val="none" w:sz="0" w:space="0" w:color="auto"/>
                    <w:bottom w:val="none" w:sz="0" w:space="0" w:color="auto"/>
                    <w:right w:val="none" w:sz="0" w:space="0" w:color="auto"/>
                  </w:divBdr>
                  <w:divsChild>
                    <w:div w:id="419764790">
                      <w:marLeft w:val="0"/>
                      <w:marRight w:val="0"/>
                      <w:marTop w:val="0"/>
                      <w:marBottom w:val="0"/>
                      <w:divBdr>
                        <w:top w:val="none" w:sz="0" w:space="0" w:color="auto"/>
                        <w:left w:val="none" w:sz="0" w:space="0" w:color="auto"/>
                        <w:bottom w:val="none" w:sz="0" w:space="0" w:color="auto"/>
                        <w:right w:val="none" w:sz="0" w:space="0" w:color="auto"/>
                      </w:divBdr>
                    </w:div>
                  </w:divsChild>
                </w:div>
                <w:div w:id="540437424">
                  <w:marLeft w:val="0"/>
                  <w:marRight w:val="0"/>
                  <w:marTop w:val="0"/>
                  <w:marBottom w:val="0"/>
                  <w:divBdr>
                    <w:top w:val="none" w:sz="0" w:space="0" w:color="auto"/>
                    <w:left w:val="none" w:sz="0" w:space="0" w:color="auto"/>
                    <w:bottom w:val="none" w:sz="0" w:space="0" w:color="auto"/>
                    <w:right w:val="none" w:sz="0" w:space="0" w:color="auto"/>
                  </w:divBdr>
                  <w:divsChild>
                    <w:div w:id="1847942181">
                      <w:marLeft w:val="0"/>
                      <w:marRight w:val="0"/>
                      <w:marTop w:val="0"/>
                      <w:marBottom w:val="0"/>
                      <w:divBdr>
                        <w:top w:val="none" w:sz="0" w:space="0" w:color="auto"/>
                        <w:left w:val="none" w:sz="0" w:space="0" w:color="auto"/>
                        <w:bottom w:val="none" w:sz="0" w:space="0" w:color="auto"/>
                        <w:right w:val="none" w:sz="0" w:space="0" w:color="auto"/>
                      </w:divBdr>
                    </w:div>
                  </w:divsChild>
                </w:div>
                <w:div w:id="740517988">
                  <w:marLeft w:val="0"/>
                  <w:marRight w:val="0"/>
                  <w:marTop w:val="0"/>
                  <w:marBottom w:val="0"/>
                  <w:divBdr>
                    <w:top w:val="none" w:sz="0" w:space="0" w:color="auto"/>
                    <w:left w:val="none" w:sz="0" w:space="0" w:color="auto"/>
                    <w:bottom w:val="none" w:sz="0" w:space="0" w:color="auto"/>
                    <w:right w:val="none" w:sz="0" w:space="0" w:color="auto"/>
                  </w:divBdr>
                  <w:divsChild>
                    <w:div w:id="15365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51776">
          <w:marLeft w:val="0"/>
          <w:marRight w:val="0"/>
          <w:marTop w:val="0"/>
          <w:marBottom w:val="0"/>
          <w:divBdr>
            <w:top w:val="none" w:sz="0" w:space="0" w:color="auto"/>
            <w:left w:val="none" w:sz="0" w:space="0" w:color="auto"/>
            <w:bottom w:val="none" w:sz="0" w:space="0" w:color="auto"/>
            <w:right w:val="none" w:sz="0" w:space="0" w:color="auto"/>
          </w:divBdr>
        </w:div>
        <w:div w:id="603463753">
          <w:marLeft w:val="0"/>
          <w:marRight w:val="0"/>
          <w:marTop w:val="0"/>
          <w:marBottom w:val="0"/>
          <w:divBdr>
            <w:top w:val="none" w:sz="0" w:space="0" w:color="auto"/>
            <w:left w:val="none" w:sz="0" w:space="0" w:color="auto"/>
            <w:bottom w:val="none" w:sz="0" w:space="0" w:color="auto"/>
            <w:right w:val="none" w:sz="0" w:space="0" w:color="auto"/>
          </w:divBdr>
        </w:div>
        <w:div w:id="469520468">
          <w:marLeft w:val="0"/>
          <w:marRight w:val="0"/>
          <w:marTop w:val="0"/>
          <w:marBottom w:val="0"/>
          <w:divBdr>
            <w:top w:val="none" w:sz="0" w:space="0" w:color="auto"/>
            <w:left w:val="none" w:sz="0" w:space="0" w:color="auto"/>
            <w:bottom w:val="none" w:sz="0" w:space="0" w:color="auto"/>
            <w:right w:val="none" w:sz="0" w:space="0" w:color="auto"/>
          </w:divBdr>
        </w:div>
        <w:div w:id="1033461841">
          <w:marLeft w:val="0"/>
          <w:marRight w:val="0"/>
          <w:marTop w:val="0"/>
          <w:marBottom w:val="0"/>
          <w:divBdr>
            <w:top w:val="none" w:sz="0" w:space="0" w:color="auto"/>
            <w:left w:val="none" w:sz="0" w:space="0" w:color="auto"/>
            <w:bottom w:val="none" w:sz="0" w:space="0" w:color="auto"/>
            <w:right w:val="none" w:sz="0" w:space="0" w:color="auto"/>
          </w:divBdr>
        </w:div>
        <w:div w:id="510527081">
          <w:marLeft w:val="0"/>
          <w:marRight w:val="0"/>
          <w:marTop w:val="0"/>
          <w:marBottom w:val="0"/>
          <w:divBdr>
            <w:top w:val="none" w:sz="0" w:space="0" w:color="auto"/>
            <w:left w:val="none" w:sz="0" w:space="0" w:color="auto"/>
            <w:bottom w:val="none" w:sz="0" w:space="0" w:color="auto"/>
            <w:right w:val="none" w:sz="0" w:space="0" w:color="auto"/>
          </w:divBdr>
        </w:div>
        <w:div w:id="1930192240">
          <w:marLeft w:val="0"/>
          <w:marRight w:val="0"/>
          <w:marTop w:val="0"/>
          <w:marBottom w:val="0"/>
          <w:divBdr>
            <w:top w:val="none" w:sz="0" w:space="0" w:color="auto"/>
            <w:left w:val="none" w:sz="0" w:space="0" w:color="auto"/>
            <w:bottom w:val="none" w:sz="0" w:space="0" w:color="auto"/>
            <w:right w:val="none" w:sz="0" w:space="0" w:color="auto"/>
          </w:divBdr>
        </w:div>
        <w:div w:id="660893584">
          <w:marLeft w:val="0"/>
          <w:marRight w:val="0"/>
          <w:marTop w:val="0"/>
          <w:marBottom w:val="0"/>
          <w:divBdr>
            <w:top w:val="none" w:sz="0" w:space="0" w:color="auto"/>
            <w:left w:val="none" w:sz="0" w:space="0" w:color="auto"/>
            <w:bottom w:val="none" w:sz="0" w:space="0" w:color="auto"/>
            <w:right w:val="none" w:sz="0" w:space="0" w:color="auto"/>
          </w:divBdr>
        </w:div>
        <w:div w:id="8994537">
          <w:marLeft w:val="0"/>
          <w:marRight w:val="0"/>
          <w:marTop w:val="0"/>
          <w:marBottom w:val="0"/>
          <w:divBdr>
            <w:top w:val="none" w:sz="0" w:space="0" w:color="auto"/>
            <w:left w:val="none" w:sz="0" w:space="0" w:color="auto"/>
            <w:bottom w:val="none" w:sz="0" w:space="0" w:color="auto"/>
            <w:right w:val="none" w:sz="0" w:space="0" w:color="auto"/>
          </w:divBdr>
        </w:div>
      </w:divsChild>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43276922">
      <w:bodyDiv w:val="1"/>
      <w:marLeft w:val="0"/>
      <w:marRight w:val="0"/>
      <w:marTop w:val="0"/>
      <w:marBottom w:val="0"/>
      <w:divBdr>
        <w:top w:val="none" w:sz="0" w:space="0" w:color="auto"/>
        <w:left w:val="none" w:sz="0" w:space="0" w:color="auto"/>
        <w:bottom w:val="none" w:sz="0" w:space="0" w:color="auto"/>
        <w:right w:val="none" w:sz="0" w:space="0" w:color="auto"/>
      </w:divBdr>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9669122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24289705">
      <w:bodyDiv w:val="1"/>
      <w:marLeft w:val="0"/>
      <w:marRight w:val="0"/>
      <w:marTop w:val="0"/>
      <w:marBottom w:val="0"/>
      <w:divBdr>
        <w:top w:val="none" w:sz="0" w:space="0" w:color="auto"/>
        <w:left w:val="none" w:sz="0" w:space="0" w:color="auto"/>
        <w:bottom w:val="none" w:sz="0" w:space="0" w:color="auto"/>
        <w:right w:val="none" w:sz="0" w:space="0" w:color="auto"/>
      </w:divBdr>
    </w:div>
    <w:div w:id="326253482">
      <w:bodyDiv w:val="1"/>
      <w:marLeft w:val="0"/>
      <w:marRight w:val="0"/>
      <w:marTop w:val="0"/>
      <w:marBottom w:val="0"/>
      <w:divBdr>
        <w:top w:val="none" w:sz="0" w:space="0" w:color="auto"/>
        <w:left w:val="none" w:sz="0" w:space="0" w:color="auto"/>
        <w:bottom w:val="none" w:sz="0" w:space="0" w:color="auto"/>
        <w:right w:val="none" w:sz="0" w:space="0" w:color="auto"/>
      </w:divBdr>
    </w:div>
    <w:div w:id="329874327">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66954201">
      <w:bodyDiv w:val="1"/>
      <w:marLeft w:val="0"/>
      <w:marRight w:val="0"/>
      <w:marTop w:val="0"/>
      <w:marBottom w:val="0"/>
      <w:divBdr>
        <w:top w:val="none" w:sz="0" w:space="0" w:color="auto"/>
        <w:left w:val="none" w:sz="0" w:space="0" w:color="auto"/>
        <w:bottom w:val="none" w:sz="0" w:space="0" w:color="auto"/>
        <w:right w:val="none" w:sz="0" w:space="0" w:color="auto"/>
      </w:divBdr>
      <w:divsChild>
        <w:div w:id="1438716296">
          <w:marLeft w:val="0"/>
          <w:marRight w:val="0"/>
          <w:marTop w:val="0"/>
          <w:marBottom w:val="0"/>
          <w:divBdr>
            <w:top w:val="none" w:sz="0" w:space="0" w:color="auto"/>
            <w:left w:val="none" w:sz="0" w:space="0" w:color="auto"/>
            <w:bottom w:val="none" w:sz="0" w:space="0" w:color="auto"/>
            <w:right w:val="none" w:sz="0" w:space="0" w:color="auto"/>
          </w:divBdr>
        </w:div>
      </w:divsChild>
    </w:div>
    <w:div w:id="367877396">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15789671">
      <w:bodyDiv w:val="1"/>
      <w:marLeft w:val="0"/>
      <w:marRight w:val="0"/>
      <w:marTop w:val="0"/>
      <w:marBottom w:val="0"/>
      <w:divBdr>
        <w:top w:val="none" w:sz="0" w:space="0" w:color="auto"/>
        <w:left w:val="none" w:sz="0" w:space="0" w:color="auto"/>
        <w:bottom w:val="none" w:sz="0" w:space="0" w:color="auto"/>
        <w:right w:val="none" w:sz="0" w:space="0" w:color="auto"/>
      </w:divBdr>
    </w:div>
    <w:div w:id="427896651">
      <w:bodyDiv w:val="1"/>
      <w:marLeft w:val="0"/>
      <w:marRight w:val="0"/>
      <w:marTop w:val="0"/>
      <w:marBottom w:val="0"/>
      <w:divBdr>
        <w:top w:val="none" w:sz="0" w:space="0" w:color="auto"/>
        <w:left w:val="none" w:sz="0" w:space="0" w:color="auto"/>
        <w:bottom w:val="none" w:sz="0" w:space="0" w:color="auto"/>
        <w:right w:val="none" w:sz="0" w:space="0" w:color="auto"/>
      </w:divBdr>
      <w:divsChild>
        <w:div w:id="2036465715">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1451243514">
                  <w:marLeft w:val="0"/>
                  <w:marRight w:val="0"/>
                  <w:marTop w:val="0"/>
                  <w:marBottom w:val="0"/>
                  <w:divBdr>
                    <w:top w:val="none" w:sz="0" w:space="0" w:color="auto"/>
                    <w:left w:val="none" w:sz="0" w:space="0" w:color="auto"/>
                    <w:bottom w:val="none" w:sz="0" w:space="0" w:color="auto"/>
                    <w:right w:val="none" w:sz="0" w:space="0" w:color="auto"/>
                  </w:divBdr>
                  <w:divsChild>
                    <w:div w:id="6300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483936334">
      <w:bodyDiv w:val="1"/>
      <w:marLeft w:val="0"/>
      <w:marRight w:val="0"/>
      <w:marTop w:val="0"/>
      <w:marBottom w:val="0"/>
      <w:divBdr>
        <w:top w:val="none" w:sz="0" w:space="0" w:color="auto"/>
        <w:left w:val="none" w:sz="0" w:space="0" w:color="auto"/>
        <w:bottom w:val="none" w:sz="0" w:space="0" w:color="auto"/>
        <w:right w:val="none" w:sz="0" w:space="0" w:color="auto"/>
      </w:divBdr>
    </w:div>
    <w:div w:id="489055912">
      <w:bodyDiv w:val="1"/>
      <w:marLeft w:val="0"/>
      <w:marRight w:val="0"/>
      <w:marTop w:val="0"/>
      <w:marBottom w:val="0"/>
      <w:divBdr>
        <w:top w:val="none" w:sz="0" w:space="0" w:color="auto"/>
        <w:left w:val="none" w:sz="0" w:space="0" w:color="auto"/>
        <w:bottom w:val="none" w:sz="0" w:space="0" w:color="auto"/>
        <w:right w:val="none" w:sz="0" w:space="0" w:color="auto"/>
      </w:divBdr>
      <w:divsChild>
        <w:div w:id="1830100388">
          <w:marLeft w:val="0"/>
          <w:marRight w:val="0"/>
          <w:marTop w:val="0"/>
          <w:marBottom w:val="0"/>
          <w:divBdr>
            <w:top w:val="none" w:sz="0" w:space="0" w:color="auto"/>
            <w:left w:val="none" w:sz="0" w:space="0" w:color="auto"/>
            <w:bottom w:val="none" w:sz="0" w:space="0" w:color="auto"/>
            <w:right w:val="none" w:sz="0" w:space="0" w:color="auto"/>
          </w:divBdr>
        </w:div>
      </w:divsChild>
    </w:div>
    <w:div w:id="510026186">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43202392">
      <w:bodyDiv w:val="1"/>
      <w:marLeft w:val="0"/>
      <w:marRight w:val="0"/>
      <w:marTop w:val="0"/>
      <w:marBottom w:val="0"/>
      <w:divBdr>
        <w:top w:val="none" w:sz="0" w:space="0" w:color="auto"/>
        <w:left w:val="none" w:sz="0" w:space="0" w:color="auto"/>
        <w:bottom w:val="none" w:sz="0" w:space="0" w:color="auto"/>
        <w:right w:val="none" w:sz="0" w:space="0" w:color="auto"/>
      </w:divBdr>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20373395">
      <w:bodyDiv w:val="1"/>
      <w:marLeft w:val="0"/>
      <w:marRight w:val="0"/>
      <w:marTop w:val="0"/>
      <w:marBottom w:val="0"/>
      <w:divBdr>
        <w:top w:val="none" w:sz="0" w:space="0" w:color="auto"/>
        <w:left w:val="none" w:sz="0" w:space="0" w:color="auto"/>
        <w:bottom w:val="none" w:sz="0" w:space="0" w:color="auto"/>
        <w:right w:val="none" w:sz="0" w:space="0" w:color="auto"/>
      </w:divBdr>
      <w:divsChild>
        <w:div w:id="188375159">
          <w:marLeft w:val="0"/>
          <w:marRight w:val="0"/>
          <w:marTop w:val="0"/>
          <w:marBottom w:val="0"/>
          <w:divBdr>
            <w:top w:val="none" w:sz="0" w:space="0" w:color="auto"/>
            <w:left w:val="none" w:sz="0" w:space="0" w:color="auto"/>
            <w:bottom w:val="none" w:sz="0" w:space="0" w:color="auto"/>
            <w:right w:val="none" w:sz="0" w:space="0" w:color="auto"/>
          </w:divBdr>
        </w:div>
        <w:div w:id="1773165421">
          <w:marLeft w:val="0"/>
          <w:marRight w:val="0"/>
          <w:marTop w:val="0"/>
          <w:marBottom w:val="0"/>
          <w:divBdr>
            <w:top w:val="none" w:sz="0" w:space="0" w:color="auto"/>
            <w:left w:val="none" w:sz="0" w:space="0" w:color="auto"/>
            <w:bottom w:val="none" w:sz="0" w:space="0" w:color="auto"/>
            <w:right w:val="none" w:sz="0" w:space="0" w:color="auto"/>
          </w:divBdr>
          <w:divsChild>
            <w:div w:id="1283804895">
              <w:marLeft w:val="-75"/>
              <w:marRight w:val="0"/>
              <w:marTop w:val="30"/>
              <w:marBottom w:val="30"/>
              <w:divBdr>
                <w:top w:val="none" w:sz="0" w:space="0" w:color="auto"/>
                <w:left w:val="none" w:sz="0" w:space="0" w:color="auto"/>
                <w:bottom w:val="none" w:sz="0" w:space="0" w:color="auto"/>
                <w:right w:val="none" w:sz="0" w:space="0" w:color="auto"/>
              </w:divBdr>
              <w:divsChild>
                <w:div w:id="483546952">
                  <w:marLeft w:val="0"/>
                  <w:marRight w:val="0"/>
                  <w:marTop w:val="0"/>
                  <w:marBottom w:val="0"/>
                  <w:divBdr>
                    <w:top w:val="none" w:sz="0" w:space="0" w:color="auto"/>
                    <w:left w:val="none" w:sz="0" w:space="0" w:color="auto"/>
                    <w:bottom w:val="none" w:sz="0" w:space="0" w:color="auto"/>
                    <w:right w:val="none" w:sz="0" w:space="0" w:color="auto"/>
                  </w:divBdr>
                  <w:divsChild>
                    <w:div w:id="1252543667">
                      <w:marLeft w:val="0"/>
                      <w:marRight w:val="0"/>
                      <w:marTop w:val="0"/>
                      <w:marBottom w:val="0"/>
                      <w:divBdr>
                        <w:top w:val="none" w:sz="0" w:space="0" w:color="auto"/>
                        <w:left w:val="none" w:sz="0" w:space="0" w:color="auto"/>
                        <w:bottom w:val="none" w:sz="0" w:space="0" w:color="auto"/>
                        <w:right w:val="none" w:sz="0" w:space="0" w:color="auto"/>
                      </w:divBdr>
                    </w:div>
                  </w:divsChild>
                </w:div>
                <w:div w:id="1993294145">
                  <w:marLeft w:val="0"/>
                  <w:marRight w:val="0"/>
                  <w:marTop w:val="0"/>
                  <w:marBottom w:val="0"/>
                  <w:divBdr>
                    <w:top w:val="none" w:sz="0" w:space="0" w:color="auto"/>
                    <w:left w:val="none" w:sz="0" w:space="0" w:color="auto"/>
                    <w:bottom w:val="none" w:sz="0" w:space="0" w:color="auto"/>
                    <w:right w:val="none" w:sz="0" w:space="0" w:color="auto"/>
                  </w:divBdr>
                  <w:divsChild>
                    <w:div w:id="2125268175">
                      <w:marLeft w:val="0"/>
                      <w:marRight w:val="0"/>
                      <w:marTop w:val="0"/>
                      <w:marBottom w:val="0"/>
                      <w:divBdr>
                        <w:top w:val="none" w:sz="0" w:space="0" w:color="auto"/>
                        <w:left w:val="none" w:sz="0" w:space="0" w:color="auto"/>
                        <w:bottom w:val="none" w:sz="0" w:space="0" w:color="auto"/>
                        <w:right w:val="none" w:sz="0" w:space="0" w:color="auto"/>
                      </w:divBdr>
                    </w:div>
                  </w:divsChild>
                </w:div>
                <w:div w:id="366490899">
                  <w:marLeft w:val="0"/>
                  <w:marRight w:val="0"/>
                  <w:marTop w:val="0"/>
                  <w:marBottom w:val="0"/>
                  <w:divBdr>
                    <w:top w:val="none" w:sz="0" w:space="0" w:color="auto"/>
                    <w:left w:val="none" w:sz="0" w:space="0" w:color="auto"/>
                    <w:bottom w:val="none" w:sz="0" w:space="0" w:color="auto"/>
                    <w:right w:val="none" w:sz="0" w:space="0" w:color="auto"/>
                  </w:divBdr>
                  <w:divsChild>
                    <w:div w:id="100074303">
                      <w:marLeft w:val="0"/>
                      <w:marRight w:val="0"/>
                      <w:marTop w:val="0"/>
                      <w:marBottom w:val="0"/>
                      <w:divBdr>
                        <w:top w:val="none" w:sz="0" w:space="0" w:color="auto"/>
                        <w:left w:val="none" w:sz="0" w:space="0" w:color="auto"/>
                        <w:bottom w:val="none" w:sz="0" w:space="0" w:color="auto"/>
                        <w:right w:val="none" w:sz="0" w:space="0" w:color="auto"/>
                      </w:divBdr>
                    </w:div>
                  </w:divsChild>
                </w:div>
                <w:div w:id="1610164734">
                  <w:marLeft w:val="0"/>
                  <w:marRight w:val="0"/>
                  <w:marTop w:val="0"/>
                  <w:marBottom w:val="0"/>
                  <w:divBdr>
                    <w:top w:val="none" w:sz="0" w:space="0" w:color="auto"/>
                    <w:left w:val="none" w:sz="0" w:space="0" w:color="auto"/>
                    <w:bottom w:val="none" w:sz="0" w:space="0" w:color="auto"/>
                    <w:right w:val="none" w:sz="0" w:space="0" w:color="auto"/>
                  </w:divBdr>
                  <w:divsChild>
                    <w:div w:id="1019966888">
                      <w:marLeft w:val="0"/>
                      <w:marRight w:val="0"/>
                      <w:marTop w:val="0"/>
                      <w:marBottom w:val="0"/>
                      <w:divBdr>
                        <w:top w:val="none" w:sz="0" w:space="0" w:color="auto"/>
                        <w:left w:val="none" w:sz="0" w:space="0" w:color="auto"/>
                        <w:bottom w:val="none" w:sz="0" w:space="0" w:color="auto"/>
                        <w:right w:val="none" w:sz="0" w:space="0" w:color="auto"/>
                      </w:divBdr>
                    </w:div>
                  </w:divsChild>
                </w:div>
                <w:div w:id="552081492">
                  <w:marLeft w:val="0"/>
                  <w:marRight w:val="0"/>
                  <w:marTop w:val="0"/>
                  <w:marBottom w:val="0"/>
                  <w:divBdr>
                    <w:top w:val="none" w:sz="0" w:space="0" w:color="auto"/>
                    <w:left w:val="none" w:sz="0" w:space="0" w:color="auto"/>
                    <w:bottom w:val="none" w:sz="0" w:space="0" w:color="auto"/>
                    <w:right w:val="none" w:sz="0" w:space="0" w:color="auto"/>
                  </w:divBdr>
                  <w:divsChild>
                    <w:div w:id="260380397">
                      <w:marLeft w:val="0"/>
                      <w:marRight w:val="0"/>
                      <w:marTop w:val="0"/>
                      <w:marBottom w:val="0"/>
                      <w:divBdr>
                        <w:top w:val="none" w:sz="0" w:space="0" w:color="auto"/>
                        <w:left w:val="none" w:sz="0" w:space="0" w:color="auto"/>
                        <w:bottom w:val="none" w:sz="0" w:space="0" w:color="auto"/>
                        <w:right w:val="none" w:sz="0" w:space="0" w:color="auto"/>
                      </w:divBdr>
                    </w:div>
                  </w:divsChild>
                </w:div>
                <w:div w:id="2048096499">
                  <w:marLeft w:val="0"/>
                  <w:marRight w:val="0"/>
                  <w:marTop w:val="0"/>
                  <w:marBottom w:val="0"/>
                  <w:divBdr>
                    <w:top w:val="none" w:sz="0" w:space="0" w:color="auto"/>
                    <w:left w:val="none" w:sz="0" w:space="0" w:color="auto"/>
                    <w:bottom w:val="none" w:sz="0" w:space="0" w:color="auto"/>
                    <w:right w:val="none" w:sz="0" w:space="0" w:color="auto"/>
                  </w:divBdr>
                  <w:divsChild>
                    <w:div w:id="1742631627">
                      <w:marLeft w:val="0"/>
                      <w:marRight w:val="0"/>
                      <w:marTop w:val="0"/>
                      <w:marBottom w:val="0"/>
                      <w:divBdr>
                        <w:top w:val="none" w:sz="0" w:space="0" w:color="auto"/>
                        <w:left w:val="none" w:sz="0" w:space="0" w:color="auto"/>
                        <w:bottom w:val="none" w:sz="0" w:space="0" w:color="auto"/>
                        <w:right w:val="none" w:sz="0" w:space="0" w:color="auto"/>
                      </w:divBdr>
                    </w:div>
                  </w:divsChild>
                </w:div>
                <w:div w:id="1643773990">
                  <w:marLeft w:val="0"/>
                  <w:marRight w:val="0"/>
                  <w:marTop w:val="0"/>
                  <w:marBottom w:val="0"/>
                  <w:divBdr>
                    <w:top w:val="none" w:sz="0" w:space="0" w:color="auto"/>
                    <w:left w:val="none" w:sz="0" w:space="0" w:color="auto"/>
                    <w:bottom w:val="none" w:sz="0" w:space="0" w:color="auto"/>
                    <w:right w:val="none" w:sz="0" w:space="0" w:color="auto"/>
                  </w:divBdr>
                  <w:divsChild>
                    <w:div w:id="784613860">
                      <w:marLeft w:val="0"/>
                      <w:marRight w:val="0"/>
                      <w:marTop w:val="0"/>
                      <w:marBottom w:val="0"/>
                      <w:divBdr>
                        <w:top w:val="none" w:sz="0" w:space="0" w:color="auto"/>
                        <w:left w:val="none" w:sz="0" w:space="0" w:color="auto"/>
                        <w:bottom w:val="none" w:sz="0" w:space="0" w:color="auto"/>
                        <w:right w:val="none" w:sz="0" w:space="0" w:color="auto"/>
                      </w:divBdr>
                    </w:div>
                  </w:divsChild>
                </w:div>
                <w:div w:id="1170213575">
                  <w:marLeft w:val="0"/>
                  <w:marRight w:val="0"/>
                  <w:marTop w:val="0"/>
                  <w:marBottom w:val="0"/>
                  <w:divBdr>
                    <w:top w:val="none" w:sz="0" w:space="0" w:color="auto"/>
                    <w:left w:val="none" w:sz="0" w:space="0" w:color="auto"/>
                    <w:bottom w:val="none" w:sz="0" w:space="0" w:color="auto"/>
                    <w:right w:val="none" w:sz="0" w:space="0" w:color="auto"/>
                  </w:divBdr>
                  <w:divsChild>
                    <w:div w:id="791169548">
                      <w:marLeft w:val="0"/>
                      <w:marRight w:val="0"/>
                      <w:marTop w:val="0"/>
                      <w:marBottom w:val="0"/>
                      <w:divBdr>
                        <w:top w:val="none" w:sz="0" w:space="0" w:color="auto"/>
                        <w:left w:val="none" w:sz="0" w:space="0" w:color="auto"/>
                        <w:bottom w:val="none" w:sz="0" w:space="0" w:color="auto"/>
                        <w:right w:val="none" w:sz="0" w:space="0" w:color="auto"/>
                      </w:divBdr>
                    </w:div>
                  </w:divsChild>
                </w:div>
                <w:div w:id="759840380">
                  <w:marLeft w:val="0"/>
                  <w:marRight w:val="0"/>
                  <w:marTop w:val="0"/>
                  <w:marBottom w:val="0"/>
                  <w:divBdr>
                    <w:top w:val="none" w:sz="0" w:space="0" w:color="auto"/>
                    <w:left w:val="none" w:sz="0" w:space="0" w:color="auto"/>
                    <w:bottom w:val="none" w:sz="0" w:space="0" w:color="auto"/>
                    <w:right w:val="none" w:sz="0" w:space="0" w:color="auto"/>
                  </w:divBdr>
                  <w:divsChild>
                    <w:div w:id="2000574348">
                      <w:marLeft w:val="0"/>
                      <w:marRight w:val="0"/>
                      <w:marTop w:val="0"/>
                      <w:marBottom w:val="0"/>
                      <w:divBdr>
                        <w:top w:val="none" w:sz="0" w:space="0" w:color="auto"/>
                        <w:left w:val="none" w:sz="0" w:space="0" w:color="auto"/>
                        <w:bottom w:val="none" w:sz="0" w:space="0" w:color="auto"/>
                        <w:right w:val="none" w:sz="0" w:space="0" w:color="auto"/>
                      </w:divBdr>
                    </w:div>
                  </w:divsChild>
                </w:div>
                <w:div w:id="335116643">
                  <w:marLeft w:val="0"/>
                  <w:marRight w:val="0"/>
                  <w:marTop w:val="0"/>
                  <w:marBottom w:val="0"/>
                  <w:divBdr>
                    <w:top w:val="none" w:sz="0" w:space="0" w:color="auto"/>
                    <w:left w:val="none" w:sz="0" w:space="0" w:color="auto"/>
                    <w:bottom w:val="none" w:sz="0" w:space="0" w:color="auto"/>
                    <w:right w:val="none" w:sz="0" w:space="0" w:color="auto"/>
                  </w:divBdr>
                  <w:divsChild>
                    <w:div w:id="1094977150">
                      <w:marLeft w:val="0"/>
                      <w:marRight w:val="0"/>
                      <w:marTop w:val="0"/>
                      <w:marBottom w:val="0"/>
                      <w:divBdr>
                        <w:top w:val="none" w:sz="0" w:space="0" w:color="auto"/>
                        <w:left w:val="none" w:sz="0" w:space="0" w:color="auto"/>
                        <w:bottom w:val="none" w:sz="0" w:space="0" w:color="auto"/>
                        <w:right w:val="none" w:sz="0" w:space="0" w:color="auto"/>
                      </w:divBdr>
                    </w:div>
                  </w:divsChild>
                </w:div>
                <w:div w:id="1711369881">
                  <w:marLeft w:val="0"/>
                  <w:marRight w:val="0"/>
                  <w:marTop w:val="0"/>
                  <w:marBottom w:val="0"/>
                  <w:divBdr>
                    <w:top w:val="none" w:sz="0" w:space="0" w:color="auto"/>
                    <w:left w:val="none" w:sz="0" w:space="0" w:color="auto"/>
                    <w:bottom w:val="none" w:sz="0" w:space="0" w:color="auto"/>
                    <w:right w:val="none" w:sz="0" w:space="0" w:color="auto"/>
                  </w:divBdr>
                  <w:divsChild>
                    <w:div w:id="1992246449">
                      <w:marLeft w:val="0"/>
                      <w:marRight w:val="0"/>
                      <w:marTop w:val="0"/>
                      <w:marBottom w:val="0"/>
                      <w:divBdr>
                        <w:top w:val="none" w:sz="0" w:space="0" w:color="auto"/>
                        <w:left w:val="none" w:sz="0" w:space="0" w:color="auto"/>
                        <w:bottom w:val="none" w:sz="0" w:space="0" w:color="auto"/>
                        <w:right w:val="none" w:sz="0" w:space="0" w:color="auto"/>
                      </w:divBdr>
                    </w:div>
                  </w:divsChild>
                </w:div>
                <w:div w:id="1101952646">
                  <w:marLeft w:val="0"/>
                  <w:marRight w:val="0"/>
                  <w:marTop w:val="0"/>
                  <w:marBottom w:val="0"/>
                  <w:divBdr>
                    <w:top w:val="none" w:sz="0" w:space="0" w:color="auto"/>
                    <w:left w:val="none" w:sz="0" w:space="0" w:color="auto"/>
                    <w:bottom w:val="none" w:sz="0" w:space="0" w:color="auto"/>
                    <w:right w:val="none" w:sz="0" w:space="0" w:color="auto"/>
                  </w:divBdr>
                  <w:divsChild>
                    <w:div w:id="3257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903685">
          <w:marLeft w:val="0"/>
          <w:marRight w:val="0"/>
          <w:marTop w:val="0"/>
          <w:marBottom w:val="0"/>
          <w:divBdr>
            <w:top w:val="none" w:sz="0" w:space="0" w:color="auto"/>
            <w:left w:val="none" w:sz="0" w:space="0" w:color="auto"/>
            <w:bottom w:val="none" w:sz="0" w:space="0" w:color="auto"/>
            <w:right w:val="none" w:sz="0" w:space="0" w:color="auto"/>
          </w:divBdr>
        </w:div>
        <w:div w:id="1137458133">
          <w:marLeft w:val="0"/>
          <w:marRight w:val="0"/>
          <w:marTop w:val="0"/>
          <w:marBottom w:val="0"/>
          <w:divBdr>
            <w:top w:val="none" w:sz="0" w:space="0" w:color="auto"/>
            <w:left w:val="none" w:sz="0" w:space="0" w:color="auto"/>
            <w:bottom w:val="none" w:sz="0" w:space="0" w:color="auto"/>
            <w:right w:val="none" w:sz="0" w:space="0" w:color="auto"/>
          </w:divBdr>
        </w:div>
        <w:div w:id="1904217196">
          <w:marLeft w:val="0"/>
          <w:marRight w:val="0"/>
          <w:marTop w:val="0"/>
          <w:marBottom w:val="0"/>
          <w:divBdr>
            <w:top w:val="none" w:sz="0" w:space="0" w:color="auto"/>
            <w:left w:val="none" w:sz="0" w:space="0" w:color="auto"/>
            <w:bottom w:val="none" w:sz="0" w:space="0" w:color="auto"/>
            <w:right w:val="none" w:sz="0" w:space="0" w:color="auto"/>
          </w:divBdr>
        </w:div>
        <w:div w:id="427039581">
          <w:marLeft w:val="0"/>
          <w:marRight w:val="0"/>
          <w:marTop w:val="0"/>
          <w:marBottom w:val="0"/>
          <w:divBdr>
            <w:top w:val="none" w:sz="0" w:space="0" w:color="auto"/>
            <w:left w:val="none" w:sz="0" w:space="0" w:color="auto"/>
            <w:bottom w:val="none" w:sz="0" w:space="0" w:color="auto"/>
            <w:right w:val="none" w:sz="0" w:space="0" w:color="auto"/>
          </w:divBdr>
        </w:div>
        <w:div w:id="1407268835">
          <w:marLeft w:val="0"/>
          <w:marRight w:val="0"/>
          <w:marTop w:val="0"/>
          <w:marBottom w:val="0"/>
          <w:divBdr>
            <w:top w:val="none" w:sz="0" w:space="0" w:color="auto"/>
            <w:left w:val="none" w:sz="0" w:space="0" w:color="auto"/>
            <w:bottom w:val="none" w:sz="0" w:space="0" w:color="auto"/>
            <w:right w:val="none" w:sz="0" w:space="0" w:color="auto"/>
          </w:divBdr>
        </w:div>
        <w:div w:id="98570581">
          <w:marLeft w:val="0"/>
          <w:marRight w:val="0"/>
          <w:marTop w:val="0"/>
          <w:marBottom w:val="0"/>
          <w:divBdr>
            <w:top w:val="none" w:sz="0" w:space="0" w:color="auto"/>
            <w:left w:val="none" w:sz="0" w:space="0" w:color="auto"/>
            <w:bottom w:val="none" w:sz="0" w:space="0" w:color="auto"/>
            <w:right w:val="none" w:sz="0" w:space="0" w:color="auto"/>
          </w:divBdr>
        </w:div>
        <w:div w:id="164130720">
          <w:marLeft w:val="0"/>
          <w:marRight w:val="0"/>
          <w:marTop w:val="0"/>
          <w:marBottom w:val="0"/>
          <w:divBdr>
            <w:top w:val="none" w:sz="0" w:space="0" w:color="auto"/>
            <w:left w:val="none" w:sz="0" w:space="0" w:color="auto"/>
            <w:bottom w:val="none" w:sz="0" w:space="0" w:color="auto"/>
            <w:right w:val="none" w:sz="0" w:space="0" w:color="auto"/>
          </w:divBdr>
        </w:div>
        <w:div w:id="1680541484">
          <w:marLeft w:val="0"/>
          <w:marRight w:val="0"/>
          <w:marTop w:val="0"/>
          <w:marBottom w:val="0"/>
          <w:divBdr>
            <w:top w:val="none" w:sz="0" w:space="0" w:color="auto"/>
            <w:left w:val="none" w:sz="0" w:space="0" w:color="auto"/>
            <w:bottom w:val="none" w:sz="0" w:space="0" w:color="auto"/>
            <w:right w:val="none" w:sz="0" w:space="0" w:color="auto"/>
          </w:divBdr>
        </w:div>
      </w:divsChild>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757560531">
      <w:bodyDiv w:val="1"/>
      <w:marLeft w:val="0"/>
      <w:marRight w:val="0"/>
      <w:marTop w:val="0"/>
      <w:marBottom w:val="0"/>
      <w:divBdr>
        <w:top w:val="none" w:sz="0" w:space="0" w:color="auto"/>
        <w:left w:val="none" w:sz="0" w:space="0" w:color="auto"/>
        <w:bottom w:val="none" w:sz="0" w:space="0" w:color="auto"/>
        <w:right w:val="none" w:sz="0" w:space="0" w:color="auto"/>
      </w:divBdr>
      <w:divsChild>
        <w:div w:id="388920195">
          <w:marLeft w:val="0"/>
          <w:marRight w:val="0"/>
          <w:marTop w:val="0"/>
          <w:marBottom w:val="0"/>
          <w:divBdr>
            <w:top w:val="none" w:sz="0" w:space="0" w:color="auto"/>
            <w:left w:val="none" w:sz="0" w:space="0" w:color="auto"/>
            <w:bottom w:val="none" w:sz="0" w:space="0" w:color="auto"/>
            <w:right w:val="none" w:sz="0" w:space="0" w:color="auto"/>
          </w:divBdr>
        </w:div>
        <w:div w:id="1367213150">
          <w:marLeft w:val="0"/>
          <w:marRight w:val="0"/>
          <w:marTop w:val="0"/>
          <w:marBottom w:val="0"/>
          <w:divBdr>
            <w:top w:val="none" w:sz="0" w:space="0" w:color="auto"/>
            <w:left w:val="none" w:sz="0" w:space="0" w:color="auto"/>
            <w:bottom w:val="none" w:sz="0" w:space="0" w:color="auto"/>
            <w:right w:val="none" w:sz="0" w:space="0" w:color="auto"/>
          </w:divBdr>
          <w:divsChild>
            <w:div w:id="1310817007">
              <w:marLeft w:val="-75"/>
              <w:marRight w:val="0"/>
              <w:marTop w:val="30"/>
              <w:marBottom w:val="30"/>
              <w:divBdr>
                <w:top w:val="none" w:sz="0" w:space="0" w:color="auto"/>
                <w:left w:val="none" w:sz="0" w:space="0" w:color="auto"/>
                <w:bottom w:val="none" w:sz="0" w:space="0" w:color="auto"/>
                <w:right w:val="none" w:sz="0" w:space="0" w:color="auto"/>
              </w:divBdr>
              <w:divsChild>
                <w:div w:id="236792937">
                  <w:marLeft w:val="0"/>
                  <w:marRight w:val="0"/>
                  <w:marTop w:val="0"/>
                  <w:marBottom w:val="0"/>
                  <w:divBdr>
                    <w:top w:val="none" w:sz="0" w:space="0" w:color="auto"/>
                    <w:left w:val="none" w:sz="0" w:space="0" w:color="auto"/>
                    <w:bottom w:val="none" w:sz="0" w:space="0" w:color="auto"/>
                    <w:right w:val="none" w:sz="0" w:space="0" w:color="auto"/>
                  </w:divBdr>
                  <w:divsChild>
                    <w:div w:id="345642800">
                      <w:marLeft w:val="0"/>
                      <w:marRight w:val="0"/>
                      <w:marTop w:val="0"/>
                      <w:marBottom w:val="0"/>
                      <w:divBdr>
                        <w:top w:val="none" w:sz="0" w:space="0" w:color="auto"/>
                        <w:left w:val="none" w:sz="0" w:space="0" w:color="auto"/>
                        <w:bottom w:val="none" w:sz="0" w:space="0" w:color="auto"/>
                        <w:right w:val="none" w:sz="0" w:space="0" w:color="auto"/>
                      </w:divBdr>
                    </w:div>
                  </w:divsChild>
                </w:div>
                <w:div w:id="1883444031">
                  <w:marLeft w:val="0"/>
                  <w:marRight w:val="0"/>
                  <w:marTop w:val="0"/>
                  <w:marBottom w:val="0"/>
                  <w:divBdr>
                    <w:top w:val="none" w:sz="0" w:space="0" w:color="auto"/>
                    <w:left w:val="none" w:sz="0" w:space="0" w:color="auto"/>
                    <w:bottom w:val="none" w:sz="0" w:space="0" w:color="auto"/>
                    <w:right w:val="none" w:sz="0" w:space="0" w:color="auto"/>
                  </w:divBdr>
                  <w:divsChild>
                    <w:div w:id="1548029028">
                      <w:marLeft w:val="0"/>
                      <w:marRight w:val="0"/>
                      <w:marTop w:val="0"/>
                      <w:marBottom w:val="0"/>
                      <w:divBdr>
                        <w:top w:val="none" w:sz="0" w:space="0" w:color="auto"/>
                        <w:left w:val="none" w:sz="0" w:space="0" w:color="auto"/>
                        <w:bottom w:val="none" w:sz="0" w:space="0" w:color="auto"/>
                        <w:right w:val="none" w:sz="0" w:space="0" w:color="auto"/>
                      </w:divBdr>
                    </w:div>
                  </w:divsChild>
                </w:div>
                <w:div w:id="1619027502">
                  <w:marLeft w:val="0"/>
                  <w:marRight w:val="0"/>
                  <w:marTop w:val="0"/>
                  <w:marBottom w:val="0"/>
                  <w:divBdr>
                    <w:top w:val="none" w:sz="0" w:space="0" w:color="auto"/>
                    <w:left w:val="none" w:sz="0" w:space="0" w:color="auto"/>
                    <w:bottom w:val="none" w:sz="0" w:space="0" w:color="auto"/>
                    <w:right w:val="none" w:sz="0" w:space="0" w:color="auto"/>
                  </w:divBdr>
                  <w:divsChild>
                    <w:div w:id="1799032285">
                      <w:marLeft w:val="0"/>
                      <w:marRight w:val="0"/>
                      <w:marTop w:val="0"/>
                      <w:marBottom w:val="0"/>
                      <w:divBdr>
                        <w:top w:val="none" w:sz="0" w:space="0" w:color="auto"/>
                        <w:left w:val="none" w:sz="0" w:space="0" w:color="auto"/>
                        <w:bottom w:val="none" w:sz="0" w:space="0" w:color="auto"/>
                        <w:right w:val="none" w:sz="0" w:space="0" w:color="auto"/>
                      </w:divBdr>
                    </w:div>
                  </w:divsChild>
                </w:div>
                <w:div w:id="73749616">
                  <w:marLeft w:val="0"/>
                  <w:marRight w:val="0"/>
                  <w:marTop w:val="0"/>
                  <w:marBottom w:val="0"/>
                  <w:divBdr>
                    <w:top w:val="none" w:sz="0" w:space="0" w:color="auto"/>
                    <w:left w:val="none" w:sz="0" w:space="0" w:color="auto"/>
                    <w:bottom w:val="none" w:sz="0" w:space="0" w:color="auto"/>
                    <w:right w:val="none" w:sz="0" w:space="0" w:color="auto"/>
                  </w:divBdr>
                  <w:divsChild>
                    <w:div w:id="732657088">
                      <w:marLeft w:val="0"/>
                      <w:marRight w:val="0"/>
                      <w:marTop w:val="0"/>
                      <w:marBottom w:val="0"/>
                      <w:divBdr>
                        <w:top w:val="none" w:sz="0" w:space="0" w:color="auto"/>
                        <w:left w:val="none" w:sz="0" w:space="0" w:color="auto"/>
                        <w:bottom w:val="none" w:sz="0" w:space="0" w:color="auto"/>
                        <w:right w:val="none" w:sz="0" w:space="0" w:color="auto"/>
                      </w:divBdr>
                    </w:div>
                  </w:divsChild>
                </w:div>
                <w:div w:id="272594312">
                  <w:marLeft w:val="0"/>
                  <w:marRight w:val="0"/>
                  <w:marTop w:val="0"/>
                  <w:marBottom w:val="0"/>
                  <w:divBdr>
                    <w:top w:val="none" w:sz="0" w:space="0" w:color="auto"/>
                    <w:left w:val="none" w:sz="0" w:space="0" w:color="auto"/>
                    <w:bottom w:val="none" w:sz="0" w:space="0" w:color="auto"/>
                    <w:right w:val="none" w:sz="0" w:space="0" w:color="auto"/>
                  </w:divBdr>
                  <w:divsChild>
                    <w:div w:id="1829009183">
                      <w:marLeft w:val="0"/>
                      <w:marRight w:val="0"/>
                      <w:marTop w:val="0"/>
                      <w:marBottom w:val="0"/>
                      <w:divBdr>
                        <w:top w:val="none" w:sz="0" w:space="0" w:color="auto"/>
                        <w:left w:val="none" w:sz="0" w:space="0" w:color="auto"/>
                        <w:bottom w:val="none" w:sz="0" w:space="0" w:color="auto"/>
                        <w:right w:val="none" w:sz="0" w:space="0" w:color="auto"/>
                      </w:divBdr>
                    </w:div>
                  </w:divsChild>
                </w:div>
                <w:div w:id="1760171587">
                  <w:marLeft w:val="0"/>
                  <w:marRight w:val="0"/>
                  <w:marTop w:val="0"/>
                  <w:marBottom w:val="0"/>
                  <w:divBdr>
                    <w:top w:val="none" w:sz="0" w:space="0" w:color="auto"/>
                    <w:left w:val="none" w:sz="0" w:space="0" w:color="auto"/>
                    <w:bottom w:val="none" w:sz="0" w:space="0" w:color="auto"/>
                    <w:right w:val="none" w:sz="0" w:space="0" w:color="auto"/>
                  </w:divBdr>
                  <w:divsChild>
                    <w:div w:id="23483114">
                      <w:marLeft w:val="0"/>
                      <w:marRight w:val="0"/>
                      <w:marTop w:val="0"/>
                      <w:marBottom w:val="0"/>
                      <w:divBdr>
                        <w:top w:val="none" w:sz="0" w:space="0" w:color="auto"/>
                        <w:left w:val="none" w:sz="0" w:space="0" w:color="auto"/>
                        <w:bottom w:val="none" w:sz="0" w:space="0" w:color="auto"/>
                        <w:right w:val="none" w:sz="0" w:space="0" w:color="auto"/>
                      </w:divBdr>
                    </w:div>
                  </w:divsChild>
                </w:div>
                <w:div w:id="257567997">
                  <w:marLeft w:val="0"/>
                  <w:marRight w:val="0"/>
                  <w:marTop w:val="0"/>
                  <w:marBottom w:val="0"/>
                  <w:divBdr>
                    <w:top w:val="none" w:sz="0" w:space="0" w:color="auto"/>
                    <w:left w:val="none" w:sz="0" w:space="0" w:color="auto"/>
                    <w:bottom w:val="none" w:sz="0" w:space="0" w:color="auto"/>
                    <w:right w:val="none" w:sz="0" w:space="0" w:color="auto"/>
                  </w:divBdr>
                  <w:divsChild>
                    <w:div w:id="90587021">
                      <w:marLeft w:val="0"/>
                      <w:marRight w:val="0"/>
                      <w:marTop w:val="0"/>
                      <w:marBottom w:val="0"/>
                      <w:divBdr>
                        <w:top w:val="none" w:sz="0" w:space="0" w:color="auto"/>
                        <w:left w:val="none" w:sz="0" w:space="0" w:color="auto"/>
                        <w:bottom w:val="none" w:sz="0" w:space="0" w:color="auto"/>
                        <w:right w:val="none" w:sz="0" w:space="0" w:color="auto"/>
                      </w:divBdr>
                    </w:div>
                  </w:divsChild>
                </w:div>
                <w:div w:id="725880527">
                  <w:marLeft w:val="0"/>
                  <w:marRight w:val="0"/>
                  <w:marTop w:val="0"/>
                  <w:marBottom w:val="0"/>
                  <w:divBdr>
                    <w:top w:val="none" w:sz="0" w:space="0" w:color="auto"/>
                    <w:left w:val="none" w:sz="0" w:space="0" w:color="auto"/>
                    <w:bottom w:val="none" w:sz="0" w:space="0" w:color="auto"/>
                    <w:right w:val="none" w:sz="0" w:space="0" w:color="auto"/>
                  </w:divBdr>
                  <w:divsChild>
                    <w:div w:id="163595070">
                      <w:marLeft w:val="0"/>
                      <w:marRight w:val="0"/>
                      <w:marTop w:val="0"/>
                      <w:marBottom w:val="0"/>
                      <w:divBdr>
                        <w:top w:val="none" w:sz="0" w:space="0" w:color="auto"/>
                        <w:left w:val="none" w:sz="0" w:space="0" w:color="auto"/>
                        <w:bottom w:val="none" w:sz="0" w:space="0" w:color="auto"/>
                        <w:right w:val="none" w:sz="0" w:space="0" w:color="auto"/>
                      </w:divBdr>
                    </w:div>
                  </w:divsChild>
                </w:div>
                <w:div w:id="1396901656">
                  <w:marLeft w:val="0"/>
                  <w:marRight w:val="0"/>
                  <w:marTop w:val="0"/>
                  <w:marBottom w:val="0"/>
                  <w:divBdr>
                    <w:top w:val="none" w:sz="0" w:space="0" w:color="auto"/>
                    <w:left w:val="none" w:sz="0" w:space="0" w:color="auto"/>
                    <w:bottom w:val="none" w:sz="0" w:space="0" w:color="auto"/>
                    <w:right w:val="none" w:sz="0" w:space="0" w:color="auto"/>
                  </w:divBdr>
                  <w:divsChild>
                    <w:div w:id="508567499">
                      <w:marLeft w:val="0"/>
                      <w:marRight w:val="0"/>
                      <w:marTop w:val="0"/>
                      <w:marBottom w:val="0"/>
                      <w:divBdr>
                        <w:top w:val="none" w:sz="0" w:space="0" w:color="auto"/>
                        <w:left w:val="none" w:sz="0" w:space="0" w:color="auto"/>
                        <w:bottom w:val="none" w:sz="0" w:space="0" w:color="auto"/>
                        <w:right w:val="none" w:sz="0" w:space="0" w:color="auto"/>
                      </w:divBdr>
                    </w:div>
                  </w:divsChild>
                </w:div>
                <w:div w:id="180552597">
                  <w:marLeft w:val="0"/>
                  <w:marRight w:val="0"/>
                  <w:marTop w:val="0"/>
                  <w:marBottom w:val="0"/>
                  <w:divBdr>
                    <w:top w:val="none" w:sz="0" w:space="0" w:color="auto"/>
                    <w:left w:val="none" w:sz="0" w:space="0" w:color="auto"/>
                    <w:bottom w:val="none" w:sz="0" w:space="0" w:color="auto"/>
                    <w:right w:val="none" w:sz="0" w:space="0" w:color="auto"/>
                  </w:divBdr>
                  <w:divsChild>
                    <w:div w:id="979116975">
                      <w:marLeft w:val="0"/>
                      <w:marRight w:val="0"/>
                      <w:marTop w:val="0"/>
                      <w:marBottom w:val="0"/>
                      <w:divBdr>
                        <w:top w:val="none" w:sz="0" w:space="0" w:color="auto"/>
                        <w:left w:val="none" w:sz="0" w:space="0" w:color="auto"/>
                        <w:bottom w:val="none" w:sz="0" w:space="0" w:color="auto"/>
                        <w:right w:val="none" w:sz="0" w:space="0" w:color="auto"/>
                      </w:divBdr>
                    </w:div>
                  </w:divsChild>
                </w:div>
                <w:div w:id="1940671349">
                  <w:marLeft w:val="0"/>
                  <w:marRight w:val="0"/>
                  <w:marTop w:val="0"/>
                  <w:marBottom w:val="0"/>
                  <w:divBdr>
                    <w:top w:val="none" w:sz="0" w:space="0" w:color="auto"/>
                    <w:left w:val="none" w:sz="0" w:space="0" w:color="auto"/>
                    <w:bottom w:val="none" w:sz="0" w:space="0" w:color="auto"/>
                    <w:right w:val="none" w:sz="0" w:space="0" w:color="auto"/>
                  </w:divBdr>
                  <w:divsChild>
                    <w:div w:id="66266354">
                      <w:marLeft w:val="0"/>
                      <w:marRight w:val="0"/>
                      <w:marTop w:val="0"/>
                      <w:marBottom w:val="0"/>
                      <w:divBdr>
                        <w:top w:val="none" w:sz="0" w:space="0" w:color="auto"/>
                        <w:left w:val="none" w:sz="0" w:space="0" w:color="auto"/>
                        <w:bottom w:val="none" w:sz="0" w:space="0" w:color="auto"/>
                        <w:right w:val="none" w:sz="0" w:space="0" w:color="auto"/>
                      </w:divBdr>
                    </w:div>
                  </w:divsChild>
                </w:div>
                <w:div w:id="1100028496">
                  <w:marLeft w:val="0"/>
                  <w:marRight w:val="0"/>
                  <w:marTop w:val="0"/>
                  <w:marBottom w:val="0"/>
                  <w:divBdr>
                    <w:top w:val="none" w:sz="0" w:space="0" w:color="auto"/>
                    <w:left w:val="none" w:sz="0" w:space="0" w:color="auto"/>
                    <w:bottom w:val="none" w:sz="0" w:space="0" w:color="auto"/>
                    <w:right w:val="none" w:sz="0" w:space="0" w:color="auto"/>
                  </w:divBdr>
                  <w:divsChild>
                    <w:div w:id="14195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6634">
          <w:marLeft w:val="0"/>
          <w:marRight w:val="0"/>
          <w:marTop w:val="0"/>
          <w:marBottom w:val="0"/>
          <w:divBdr>
            <w:top w:val="none" w:sz="0" w:space="0" w:color="auto"/>
            <w:left w:val="none" w:sz="0" w:space="0" w:color="auto"/>
            <w:bottom w:val="none" w:sz="0" w:space="0" w:color="auto"/>
            <w:right w:val="none" w:sz="0" w:space="0" w:color="auto"/>
          </w:divBdr>
        </w:div>
        <w:div w:id="1144391964">
          <w:marLeft w:val="0"/>
          <w:marRight w:val="0"/>
          <w:marTop w:val="0"/>
          <w:marBottom w:val="0"/>
          <w:divBdr>
            <w:top w:val="none" w:sz="0" w:space="0" w:color="auto"/>
            <w:left w:val="none" w:sz="0" w:space="0" w:color="auto"/>
            <w:bottom w:val="none" w:sz="0" w:space="0" w:color="auto"/>
            <w:right w:val="none" w:sz="0" w:space="0" w:color="auto"/>
          </w:divBdr>
        </w:div>
        <w:div w:id="2146697694">
          <w:marLeft w:val="0"/>
          <w:marRight w:val="0"/>
          <w:marTop w:val="0"/>
          <w:marBottom w:val="0"/>
          <w:divBdr>
            <w:top w:val="none" w:sz="0" w:space="0" w:color="auto"/>
            <w:left w:val="none" w:sz="0" w:space="0" w:color="auto"/>
            <w:bottom w:val="none" w:sz="0" w:space="0" w:color="auto"/>
            <w:right w:val="none" w:sz="0" w:space="0" w:color="auto"/>
          </w:divBdr>
        </w:div>
        <w:div w:id="642201425">
          <w:marLeft w:val="0"/>
          <w:marRight w:val="0"/>
          <w:marTop w:val="0"/>
          <w:marBottom w:val="0"/>
          <w:divBdr>
            <w:top w:val="none" w:sz="0" w:space="0" w:color="auto"/>
            <w:left w:val="none" w:sz="0" w:space="0" w:color="auto"/>
            <w:bottom w:val="none" w:sz="0" w:space="0" w:color="auto"/>
            <w:right w:val="none" w:sz="0" w:space="0" w:color="auto"/>
          </w:divBdr>
        </w:div>
        <w:div w:id="1070536752">
          <w:marLeft w:val="0"/>
          <w:marRight w:val="0"/>
          <w:marTop w:val="0"/>
          <w:marBottom w:val="0"/>
          <w:divBdr>
            <w:top w:val="none" w:sz="0" w:space="0" w:color="auto"/>
            <w:left w:val="none" w:sz="0" w:space="0" w:color="auto"/>
            <w:bottom w:val="none" w:sz="0" w:space="0" w:color="auto"/>
            <w:right w:val="none" w:sz="0" w:space="0" w:color="auto"/>
          </w:divBdr>
        </w:div>
        <w:div w:id="1873641443">
          <w:marLeft w:val="0"/>
          <w:marRight w:val="0"/>
          <w:marTop w:val="0"/>
          <w:marBottom w:val="0"/>
          <w:divBdr>
            <w:top w:val="none" w:sz="0" w:space="0" w:color="auto"/>
            <w:left w:val="none" w:sz="0" w:space="0" w:color="auto"/>
            <w:bottom w:val="none" w:sz="0" w:space="0" w:color="auto"/>
            <w:right w:val="none" w:sz="0" w:space="0" w:color="auto"/>
          </w:divBdr>
        </w:div>
        <w:div w:id="1390569143">
          <w:marLeft w:val="0"/>
          <w:marRight w:val="0"/>
          <w:marTop w:val="0"/>
          <w:marBottom w:val="0"/>
          <w:divBdr>
            <w:top w:val="none" w:sz="0" w:space="0" w:color="auto"/>
            <w:left w:val="none" w:sz="0" w:space="0" w:color="auto"/>
            <w:bottom w:val="none" w:sz="0" w:space="0" w:color="auto"/>
            <w:right w:val="none" w:sz="0" w:space="0" w:color="auto"/>
          </w:divBdr>
        </w:div>
        <w:div w:id="420951362">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875970130">
      <w:bodyDiv w:val="1"/>
      <w:marLeft w:val="0"/>
      <w:marRight w:val="0"/>
      <w:marTop w:val="0"/>
      <w:marBottom w:val="0"/>
      <w:divBdr>
        <w:top w:val="none" w:sz="0" w:space="0" w:color="auto"/>
        <w:left w:val="none" w:sz="0" w:space="0" w:color="auto"/>
        <w:bottom w:val="none" w:sz="0" w:space="0" w:color="auto"/>
        <w:right w:val="none" w:sz="0" w:space="0" w:color="auto"/>
      </w:divBdr>
    </w:div>
    <w:div w:id="964770489">
      <w:bodyDiv w:val="1"/>
      <w:marLeft w:val="0"/>
      <w:marRight w:val="0"/>
      <w:marTop w:val="0"/>
      <w:marBottom w:val="0"/>
      <w:divBdr>
        <w:top w:val="none" w:sz="0" w:space="0" w:color="auto"/>
        <w:left w:val="none" w:sz="0" w:space="0" w:color="auto"/>
        <w:bottom w:val="none" w:sz="0" w:space="0" w:color="auto"/>
        <w:right w:val="none" w:sz="0" w:space="0" w:color="auto"/>
      </w:divBdr>
      <w:divsChild>
        <w:div w:id="532349026">
          <w:marLeft w:val="0"/>
          <w:marRight w:val="0"/>
          <w:marTop w:val="0"/>
          <w:marBottom w:val="0"/>
          <w:divBdr>
            <w:top w:val="none" w:sz="0" w:space="0" w:color="auto"/>
            <w:left w:val="none" w:sz="0" w:space="0" w:color="auto"/>
            <w:bottom w:val="none" w:sz="0" w:space="0" w:color="auto"/>
            <w:right w:val="none" w:sz="0" w:space="0" w:color="auto"/>
          </w:divBdr>
        </w:div>
        <w:div w:id="839857104">
          <w:marLeft w:val="0"/>
          <w:marRight w:val="0"/>
          <w:marTop w:val="0"/>
          <w:marBottom w:val="0"/>
          <w:divBdr>
            <w:top w:val="none" w:sz="0" w:space="0" w:color="auto"/>
            <w:left w:val="none" w:sz="0" w:space="0" w:color="auto"/>
            <w:bottom w:val="none" w:sz="0" w:space="0" w:color="auto"/>
            <w:right w:val="none" w:sz="0" w:space="0" w:color="auto"/>
          </w:divBdr>
        </w:div>
      </w:divsChild>
    </w:div>
    <w:div w:id="971864138">
      <w:bodyDiv w:val="1"/>
      <w:marLeft w:val="0"/>
      <w:marRight w:val="0"/>
      <w:marTop w:val="0"/>
      <w:marBottom w:val="0"/>
      <w:divBdr>
        <w:top w:val="none" w:sz="0" w:space="0" w:color="auto"/>
        <w:left w:val="none" w:sz="0" w:space="0" w:color="auto"/>
        <w:bottom w:val="none" w:sz="0" w:space="0" w:color="auto"/>
        <w:right w:val="none" w:sz="0" w:space="0" w:color="auto"/>
      </w:divBdr>
      <w:divsChild>
        <w:div w:id="475876626">
          <w:marLeft w:val="0"/>
          <w:marRight w:val="0"/>
          <w:marTop w:val="0"/>
          <w:marBottom w:val="0"/>
          <w:divBdr>
            <w:top w:val="none" w:sz="0" w:space="0" w:color="auto"/>
            <w:left w:val="none" w:sz="0" w:space="0" w:color="auto"/>
            <w:bottom w:val="none" w:sz="0" w:space="0" w:color="auto"/>
            <w:right w:val="none" w:sz="0" w:space="0" w:color="auto"/>
          </w:divBdr>
        </w:div>
      </w:divsChild>
    </w:div>
    <w:div w:id="996029172">
      <w:bodyDiv w:val="1"/>
      <w:marLeft w:val="0"/>
      <w:marRight w:val="0"/>
      <w:marTop w:val="0"/>
      <w:marBottom w:val="0"/>
      <w:divBdr>
        <w:top w:val="none" w:sz="0" w:space="0" w:color="auto"/>
        <w:left w:val="none" w:sz="0" w:space="0" w:color="auto"/>
        <w:bottom w:val="none" w:sz="0" w:space="0" w:color="auto"/>
        <w:right w:val="none" w:sz="0" w:space="0" w:color="auto"/>
      </w:divBdr>
    </w:div>
    <w:div w:id="1038240852">
      <w:bodyDiv w:val="1"/>
      <w:marLeft w:val="0"/>
      <w:marRight w:val="0"/>
      <w:marTop w:val="0"/>
      <w:marBottom w:val="0"/>
      <w:divBdr>
        <w:top w:val="none" w:sz="0" w:space="0" w:color="auto"/>
        <w:left w:val="none" w:sz="0" w:space="0" w:color="auto"/>
        <w:bottom w:val="none" w:sz="0" w:space="0" w:color="auto"/>
        <w:right w:val="none" w:sz="0" w:space="0" w:color="auto"/>
      </w:divBdr>
    </w:div>
    <w:div w:id="1046417878">
      <w:bodyDiv w:val="1"/>
      <w:marLeft w:val="0"/>
      <w:marRight w:val="0"/>
      <w:marTop w:val="0"/>
      <w:marBottom w:val="0"/>
      <w:divBdr>
        <w:top w:val="none" w:sz="0" w:space="0" w:color="auto"/>
        <w:left w:val="none" w:sz="0" w:space="0" w:color="auto"/>
        <w:bottom w:val="none" w:sz="0" w:space="0" w:color="auto"/>
        <w:right w:val="none" w:sz="0" w:space="0" w:color="auto"/>
      </w:divBdr>
    </w:div>
    <w:div w:id="1051733866">
      <w:bodyDiv w:val="1"/>
      <w:marLeft w:val="0"/>
      <w:marRight w:val="0"/>
      <w:marTop w:val="0"/>
      <w:marBottom w:val="0"/>
      <w:divBdr>
        <w:top w:val="none" w:sz="0" w:space="0" w:color="auto"/>
        <w:left w:val="none" w:sz="0" w:space="0" w:color="auto"/>
        <w:bottom w:val="none" w:sz="0" w:space="0" w:color="auto"/>
        <w:right w:val="none" w:sz="0" w:space="0" w:color="auto"/>
      </w:divBdr>
    </w:div>
    <w:div w:id="1053501065">
      <w:bodyDiv w:val="1"/>
      <w:marLeft w:val="0"/>
      <w:marRight w:val="0"/>
      <w:marTop w:val="0"/>
      <w:marBottom w:val="0"/>
      <w:divBdr>
        <w:top w:val="none" w:sz="0" w:space="0" w:color="auto"/>
        <w:left w:val="none" w:sz="0" w:space="0" w:color="auto"/>
        <w:bottom w:val="none" w:sz="0" w:space="0" w:color="auto"/>
        <w:right w:val="none" w:sz="0" w:space="0" w:color="auto"/>
      </w:divBdr>
      <w:divsChild>
        <w:div w:id="201133512">
          <w:marLeft w:val="0"/>
          <w:marRight w:val="0"/>
          <w:marTop w:val="0"/>
          <w:marBottom w:val="0"/>
          <w:divBdr>
            <w:top w:val="none" w:sz="0" w:space="0" w:color="auto"/>
            <w:left w:val="none" w:sz="0" w:space="0" w:color="auto"/>
            <w:bottom w:val="none" w:sz="0" w:space="0" w:color="auto"/>
            <w:right w:val="none" w:sz="0" w:space="0" w:color="auto"/>
          </w:divBdr>
        </w:div>
        <w:div w:id="820122334">
          <w:marLeft w:val="0"/>
          <w:marRight w:val="0"/>
          <w:marTop w:val="0"/>
          <w:marBottom w:val="0"/>
          <w:divBdr>
            <w:top w:val="none" w:sz="0" w:space="0" w:color="auto"/>
            <w:left w:val="none" w:sz="0" w:space="0" w:color="auto"/>
            <w:bottom w:val="none" w:sz="0" w:space="0" w:color="auto"/>
            <w:right w:val="none" w:sz="0" w:space="0" w:color="auto"/>
          </w:divBdr>
        </w:div>
        <w:div w:id="1452043927">
          <w:marLeft w:val="0"/>
          <w:marRight w:val="0"/>
          <w:marTop w:val="0"/>
          <w:marBottom w:val="0"/>
          <w:divBdr>
            <w:top w:val="none" w:sz="0" w:space="0" w:color="auto"/>
            <w:left w:val="none" w:sz="0" w:space="0" w:color="auto"/>
            <w:bottom w:val="none" w:sz="0" w:space="0" w:color="auto"/>
            <w:right w:val="none" w:sz="0" w:space="0" w:color="auto"/>
          </w:divBdr>
        </w:div>
        <w:div w:id="977295860">
          <w:marLeft w:val="0"/>
          <w:marRight w:val="0"/>
          <w:marTop w:val="0"/>
          <w:marBottom w:val="0"/>
          <w:divBdr>
            <w:top w:val="none" w:sz="0" w:space="0" w:color="auto"/>
            <w:left w:val="none" w:sz="0" w:space="0" w:color="auto"/>
            <w:bottom w:val="none" w:sz="0" w:space="0" w:color="auto"/>
            <w:right w:val="none" w:sz="0" w:space="0" w:color="auto"/>
          </w:divBdr>
        </w:div>
        <w:div w:id="2103060949">
          <w:marLeft w:val="0"/>
          <w:marRight w:val="0"/>
          <w:marTop w:val="0"/>
          <w:marBottom w:val="0"/>
          <w:divBdr>
            <w:top w:val="none" w:sz="0" w:space="0" w:color="auto"/>
            <w:left w:val="none" w:sz="0" w:space="0" w:color="auto"/>
            <w:bottom w:val="none" w:sz="0" w:space="0" w:color="auto"/>
            <w:right w:val="none" w:sz="0" w:space="0" w:color="auto"/>
          </w:divBdr>
        </w:div>
        <w:div w:id="1554777957">
          <w:marLeft w:val="0"/>
          <w:marRight w:val="0"/>
          <w:marTop w:val="0"/>
          <w:marBottom w:val="0"/>
          <w:divBdr>
            <w:top w:val="none" w:sz="0" w:space="0" w:color="auto"/>
            <w:left w:val="none" w:sz="0" w:space="0" w:color="auto"/>
            <w:bottom w:val="none" w:sz="0" w:space="0" w:color="auto"/>
            <w:right w:val="none" w:sz="0" w:space="0" w:color="auto"/>
          </w:divBdr>
        </w:div>
        <w:div w:id="943658322">
          <w:marLeft w:val="0"/>
          <w:marRight w:val="0"/>
          <w:marTop w:val="0"/>
          <w:marBottom w:val="0"/>
          <w:divBdr>
            <w:top w:val="none" w:sz="0" w:space="0" w:color="auto"/>
            <w:left w:val="none" w:sz="0" w:space="0" w:color="auto"/>
            <w:bottom w:val="none" w:sz="0" w:space="0" w:color="auto"/>
            <w:right w:val="none" w:sz="0" w:space="0" w:color="auto"/>
          </w:divBdr>
        </w:div>
        <w:div w:id="2096970568">
          <w:marLeft w:val="0"/>
          <w:marRight w:val="0"/>
          <w:marTop w:val="0"/>
          <w:marBottom w:val="0"/>
          <w:divBdr>
            <w:top w:val="none" w:sz="0" w:space="0" w:color="auto"/>
            <w:left w:val="none" w:sz="0" w:space="0" w:color="auto"/>
            <w:bottom w:val="none" w:sz="0" w:space="0" w:color="auto"/>
            <w:right w:val="none" w:sz="0" w:space="0" w:color="auto"/>
          </w:divBdr>
        </w:div>
        <w:div w:id="1454054753">
          <w:marLeft w:val="0"/>
          <w:marRight w:val="0"/>
          <w:marTop w:val="0"/>
          <w:marBottom w:val="0"/>
          <w:divBdr>
            <w:top w:val="none" w:sz="0" w:space="0" w:color="auto"/>
            <w:left w:val="none" w:sz="0" w:space="0" w:color="auto"/>
            <w:bottom w:val="none" w:sz="0" w:space="0" w:color="auto"/>
            <w:right w:val="none" w:sz="0" w:space="0" w:color="auto"/>
          </w:divBdr>
        </w:div>
        <w:div w:id="506792921">
          <w:marLeft w:val="0"/>
          <w:marRight w:val="0"/>
          <w:marTop w:val="0"/>
          <w:marBottom w:val="0"/>
          <w:divBdr>
            <w:top w:val="none" w:sz="0" w:space="0" w:color="auto"/>
            <w:left w:val="none" w:sz="0" w:space="0" w:color="auto"/>
            <w:bottom w:val="none" w:sz="0" w:space="0" w:color="auto"/>
            <w:right w:val="none" w:sz="0" w:space="0" w:color="auto"/>
          </w:divBdr>
        </w:div>
        <w:div w:id="55789165">
          <w:marLeft w:val="0"/>
          <w:marRight w:val="0"/>
          <w:marTop w:val="0"/>
          <w:marBottom w:val="0"/>
          <w:divBdr>
            <w:top w:val="none" w:sz="0" w:space="0" w:color="auto"/>
            <w:left w:val="none" w:sz="0" w:space="0" w:color="auto"/>
            <w:bottom w:val="none" w:sz="0" w:space="0" w:color="auto"/>
            <w:right w:val="none" w:sz="0" w:space="0" w:color="auto"/>
          </w:divBdr>
        </w:div>
        <w:div w:id="1832519858">
          <w:marLeft w:val="0"/>
          <w:marRight w:val="0"/>
          <w:marTop w:val="0"/>
          <w:marBottom w:val="0"/>
          <w:divBdr>
            <w:top w:val="none" w:sz="0" w:space="0" w:color="auto"/>
            <w:left w:val="none" w:sz="0" w:space="0" w:color="auto"/>
            <w:bottom w:val="none" w:sz="0" w:space="0" w:color="auto"/>
            <w:right w:val="none" w:sz="0" w:space="0" w:color="auto"/>
          </w:divBdr>
        </w:div>
        <w:div w:id="760445568">
          <w:marLeft w:val="0"/>
          <w:marRight w:val="0"/>
          <w:marTop w:val="0"/>
          <w:marBottom w:val="0"/>
          <w:divBdr>
            <w:top w:val="none" w:sz="0" w:space="0" w:color="auto"/>
            <w:left w:val="none" w:sz="0" w:space="0" w:color="auto"/>
            <w:bottom w:val="none" w:sz="0" w:space="0" w:color="auto"/>
            <w:right w:val="none" w:sz="0" w:space="0" w:color="auto"/>
          </w:divBdr>
        </w:div>
      </w:divsChild>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29804683">
      <w:bodyDiv w:val="1"/>
      <w:marLeft w:val="0"/>
      <w:marRight w:val="0"/>
      <w:marTop w:val="0"/>
      <w:marBottom w:val="0"/>
      <w:divBdr>
        <w:top w:val="none" w:sz="0" w:space="0" w:color="auto"/>
        <w:left w:val="none" w:sz="0" w:space="0" w:color="auto"/>
        <w:bottom w:val="none" w:sz="0" w:space="0" w:color="auto"/>
        <w:right w:val="none" w:sz="0" w:space="0" w:color="auto"/>
      </w:divBdr>
    </w:div>
    <w:div w:id="1231618378">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61989901">
      <w:bodyDiv w:val="1"/>
      <w:marLeft w:val="0"/>
      <w:marRight w:val="0"/>
      <w:marTop w:val="0"/>
      <w:marBottom w:val="0"/>
      <w:divBdr>
        <w:top w:val="none" w:sz="0" w:space="0" w:color="auto"/>
        <w:left w:val="none" w:sz="0" w:space="0" w:color="auto"/>
        <w:bottom w:val="none" w:sz="0" w:space="0" w:color="auto"/>
        <w:right w:val="none" w:sz="0" w:space="0" w:color="auto"/>
      </w:divBdr>
      <w:divsChild>
        <w:div w:id="1633898293">
          <w:marLeft w:val="0"/>
          <w:marRight w:val="0"/>
          <w:marTop w:val="0"/>
          <w:marBottom w:val="0"/>
          <w:divBdr>
            <w:top w:val="none" w:sz="0" w:space="0" w:color="auto"/>
            <w:left w:val="none" w:sz="0" w:space="0" w:color="auto"/>
            <w:bottom w:val="none" w:sz="0" w:space="0" w:color="auto"/>
            <w:right w:val="none" w:sz="0" w:space="0" w:color="auto"/>
          </w:divBdr>
        </w:div>
      </w:divsChild>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81915607">
      <w:bodyDiv w:val="1"/>
      <w:marLeft w:val="0"/>
      <w:marRight w:val="0"/>
      <w:marTop w:val="0"/>
      <w:marBottom w:val="0"/>
      <w:divBdr>
        <w:top w:val="none" w:sz="0" w:space="0" w:color="auto"/>
        <w:left w:val="none" w:sz="0" w:space="0" w:color="auto"/>
        <w:bottom w:val="none" w:sz="0" w:space="0" w:color="auto"/>
        <w:right w:val="none" w:sz="0" w:space="0" w:color="auto"/>
      </w:divBdr>
      <w:divsChild>
        <w:div w:id="829296586">
          <w:marLeft w:val="0"/>
          <w:marRight w:val="0"/>
          <w:marTop w:val="0"/>
          <w:marBottom w:val="0"/>
          <w:divBdr>
            <w:top w:val="none" w:sz="0" w:space="0" w:color="auto"/>
            <w:left w:val="none" w:sz="0" w:space="0" w:color="auto"/>
            <w:bottom w:val="none" w:sz="0" w:space="0" w:color="auto"/>
            <w:right w:val="none" w:sz="0" w:space="0" w:color="auto"/>
          </w:divBdr>
        </w:div>
      </w:divsChild>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5836267">
      <w:bodyDiv w:val="1"/>
      <w:marLeft w:val="0"/>
      <w:marRight w:val="0"/>
      <w:marTop w:val="0"/>
      <w:marBottom w:val="0"/>
      <w:divBdr>
        <w:top w:val="none" w:sz="0" w:space="0" w:color="auto"/>
        <w:left w:val="none" w:sz="0" w:space="0" w:color="auto"/>
        <w:bottom w:val="none" w:sz="0" w:space="0" w:color="auto"/>
        <w:right w:val="none" w:sz="0" w:space="0" w:color="auto"/>
      </w:divBdr>
      <w:divsChild>
        <w:div w:id="1407606362">
          <w:marLeft w:val="0"/>
          <w:marRight w:val="0"/>
          <w:marTop w:val="0"/>
          <w:marBottom w:val="0"/>
          <w:divBdr>
            <w:top w:val="none" w:sz="0" w:space="0" w:color="auto"/>
            <w:left w:val="none" w:sz="0" w:space="0" w:color="auto"/>
            <w:bottom w:val="none" w:sz="0" w:space="0" w:color="auto"/>
            <w:right w:val="none" w:sz="0" w:space="0" w:color="auto"/>
          </w:divBdr>
          <w:divsChild>
            <w:div w:id="794759218">
              <w:marLeft w:val="0"/>
              <w:marRight w:val="0"/>
              <w:marTop w:val="0"/>
              <w:marBottom w:val="0"/>
              <w:divBdr>
                <w:top w:val="none" w:sz="0" w:space="0" w:color="auto"/>
                <w:left w:val="none" w:sz="0" w:space="0" w:color="auto"/>
                <w:bottom w:val="none" w:sz="0" w:space="0" w:color="auto"/>
                <w:right w:val="none" w:sz="0" w:space="0" w:color="auto"/>
              </w:divBdr>
              <w:divsChild>
                <w:div w:id="2013214091">
                  <w:marLeft w:val="0"/>
                  <w:marRight w:val="0"/>
                  <w:marTop w:val="0"/>
                  <w:marBottom w:val="0"/>
                  <w:divBdr>
                    <w:top w:val="none" w:sz="0" w:space="0" w:color="auto"/>
                    <w:left w:val="none" w:sz="0" w:space="0" w:color="auto"/>
                    <w:bottom w:val="none" w:sz="0" w:space="0" w:color="auto"/>
                    <w:right w:val="none" w:sz="0" w:space="0" w:color="auto"/>
                  </w:divBdr>
                  <w:divsChild>
                    <w:div w:id="6460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70104608">
      <w:bodyDiv w:val="1"/>
      <w:marLeft w:val="0"/>
      <w:marRight w:val="0"/>
      <w:marTop w:val="0"/>
      <w:marBottom w:val="0"/>
      <w:divBdr>
        <w:top w:val="none" w:sz="0" w:space="0" w:color="auto"/>
        <w:left w:val="none" w:sz="0" w:space="0" w:color="auto"/>
        <w:bottom w:val="none" w:sz="0" w:space="0" w:color="auto"/>
        <w:right w:val="none" w:sz="0" w:space="0" w:color="auto"/>
      </w:divBdr>
      <w:divsChild>
        <w:div w:id="1305424298">
          <w:marLeft w:val="0"/>
          <w:marRight w:val="0"/>
          <w:marTop w:val="0"/>
          <w:marBottom w:val="0"/>
          <w:divBdr>
            <w:top w:val="none" w:sz="0" w:space="0" w:color="auto"/>
            <w:left w:val="none" w:sz="0" w:space="0" w:color="auto"/>
            <w:bottom w:val="none" w:sz="0" w:space="0" w:color="auto"/>
            <w:right w:val="none" w:sz="0" w:space="0" w:color="auto"/>
          </w:divBdr>
        </w:div>
      </w:divsChild>
    </w:div>
    <w:div w:id="1428036654">
      <w:bodyDiv w:val="1"/>
      <w:marLeft w:val="0"/>
      <w:marRight w:val="0"/>
      <w:marTop w:val="0"/>
      <w:marBottom w:val="0"/>
      <w:divBdr>
        <w:top w:val="none" w:sz="0" w:space="0" w:color="auto"/>
        <w:left w:val="none" w:sz="0" w:space="0" w:color="auto"/>
        <w:bottom w:val="none" w:sz="0" w:space="0" w:color="auto"/>
        <w:right w:val="none" w:sz="0" w:space="0" w:color="auto"/>
      </w:divBdr>
      <w:divsChild>
        <w:div w:id="1417363042">
          <w:marLeft w:val="0"/>
          <w:marRight w:val="0"/>
          <w:marTop w:val="0"/>
          <w:marBottom w:val="0"/>
          <w:divBdr>
            <w:top w:val="none" w:sz="0" w:space="0" w:color="auto"/>
            <w:left w:val="none" w:sz="0" w:space="0" w:color="auto"/>
            <w:bottom w:val="none" w:sz="0" w:space="0" w:color="auto"/>
            <w:right w:val="none" w:sz="0" w:space="0" w:color="auto"/>
          </w:divBdr>
        </w:div>
      </w:divsChild>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20186594">
      <w:bodyDiv w:val="1"/>
      <w:marLeft w:val="0"/>
      <w:marRight w:val="0"/>
      <w:marTop w:val="0"/>
      <w:marBottom w:val="0"/>
      <w:divBdr>
        <w:top w:val="none" w:sz="0" w:space="0" w:color="auto"/>
        <w:left w:val="none" w:sz="0" w:space="0" w:color="auto"/>
        <w:bottom w:val="none" w:sz="0" w:space="0" w:color="auto"/>
        <w:right w:val="none" w:sz="0" w:space="0" w:color="auto"/>
      </w:divBdr>
      <w:divsChild>
        <w:div w:id="1229194566">
          <w:marLeft w:val="0"/>
          <w:marRight w:val="0"/>
          <w:marTop w:val="0"/>
          <w:marBottom w:val="0"/>
          <w:divBdr>
            <w:top w:val="none" w:sz="0" w:space="0" w:color="auto"/>
            <w:left w:val="none" w:sz="0" w:space="0" w:color="auto"/>
            <w:bottom w:val="none" w:sz="0" w:space="0" w:color="auto"/>
            <w:right w:val="none" w:sz="0" w:space="0" w:color="auto"/>
          </w:divBdr>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64912240">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16483482">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855875087">
      <w:bodyDiv w:val="1"/>
      <w:marLeft w:val="0"/>
      <w:marRight w:val="0"/>
      <w:marTop w:val="0"/>
      <w:marBottom w:val="0"/>
      <w:divBdr>
        <w:top w:val="none" w:sz="0" w:space="0" w:color="auto"/>
        <w:left w:val="none" w:sz="0" w:space="0" w:color="auto"/>
        <w:bottom w:val="none" w:sz="0" w:space="0" w:color="auto"/>
        <w:right w:val="none" w:sz="0" w:space="0" w:color="auto"/>
      </w:divBdr>
      <w:divsChild>
        <w:div w:id="65423067">
          <w:marLeft w:val="0"/>
          <w:marRight w:val="0"/>
          <w:marTop w:val="0"/>
          <w:marBottom w:val="0"/>
          <w:divBdr>
            <w:top w:val="none" w:sz="0" w:space="0" w:color="auto"/>
            <w:left w:val="none" w:sz="0" w:space="0" w:color="auto"/>
            <w:bottom w:val="none" w:sz="0" w:space="0" w:color="auto"/>
            <w:right w:val="none" w:sz="0" w:space="0" w:color="auto"/>
          </w:divBdr>
        </w:div>
      </w:divsChild>
    </w:div>
    <w:div w:id="1901669436">
      <w:bodyDiv w:val="1"/>
      <w:marLeft w:val="0"/>
      <w:marRight w:val="0"/>
      <w:marTop w:val="0"/>
      <w:marBottom w:val="0"/>
      <w:divBdr>
        <w:top w:val="none" w:sz="0" w:space="0" w:color="auto"/>
        <w:left w:val="none" w:sz="0" w:space="0" w:color="auto"/>
        <w:bottom w:val="none" w:sz="0" w:space="0" w:color="auto"/>
        <w:right w:val="none" w:sz="0" w:space="0" w:color="auto"/>
      </w:divBdr>
      <w:divsChild>
        <w:div w:id="1039822445">
          <w:marLeft w:val="0"/>
          <w:marRight w:val="0"/>
          <w:marTop w:val="0"/>
          <w:marBottom w:val="0"/>
          <w:divBdr>
            <w:top w:val="none" w:sz="0" w:space="0" w:color="auto"/>
            <w:left w:val="none" w:sz="0" w:space="0" w:color="auto"/>
            <w:bottom w:val="none" w:sz="0" w:space="0" w:color="auto"/>
            <w:right w:val="none" w:sz="0" w:space="0" w:color="auto"/>
          </w:divBdr>
        </w:div>
      </w:divsChild>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a.kolarikova@crestcom.cz" TargetMode="External"/><Relationship Id="rId13" Type="http://schemas.openxmlformats.org/officeDocument/2006/relationships/hyperlink" Target="https://www.linkedin.com/company/3585825?trk=tyah&amp;trkInfo=clickedVertical%253Acompany%252Cidx%253A1-1-1%252CtarId%253A1431360641868%252Ctas%253Acbre%2520czech%22%20\t%20%22_blan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facebook.com/pages/CBRE-News/626929170775263?ref=ts&amp;fref=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razova@cbre.com" TargetMode="External"/><Relationship Id="rId5" Type="http://schemas.openxmlformats.org/officeDocument/2006/relationships/webSettings" Target="webSettings.xml"/><Relationship Id="rId15" Type="http://schemas.openxmlformats.org/officeDocument/2006/relationships/hyperlink" Target="http://www.cbre.cz/" TargetMode="External"/><Relationship Id="rId10" Type="http://schemas.openxmlformats.org/officeDocument/2006/relationships/hyperlink" Target="http://www.crestco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mila.cadkova@crestcom.cz" TargetMode="External"/><Relationship Id="rId14" Type="http://schemas.openxmlformats.org/officeDocument/2006/relationships/hyperlink" Target="https://www.instagram.com/cbre_cz/"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A1213-7AF9-4F09-87C2-2FC845AE8B89}">
  <ds:schemaRefs>
    <ds:schemaRef ds:uri="http://schemas.openxmlformats.org/officeDocument/2006/bibliography"/>
  </ds:schemaRefs>
</ds:datastoreItem>
</file>

<file path=customXml/itemProps2.xml><?xml version="1.0" encoding="utf-8"?>
<ds:datastoreItem xmlns:ds="http://schemas.openxmlformats.org/officeDocument/2006/customXml" ds:itemID="{17CA6790-2DA3-49F7-80E1-3CA99EC122AF}"/>
</file>

<file path=customXml/itemProps3.xml><?xml version="1.0" encoding="utf-8"?>
<ds:datastoreItem xmlns:ds="http://schemas.openxmlformats.org/officeDocument/2006/customXml" ds:itemID="{BC40B660-A5EF-4B61-AE3A-C3D6106A8526}"/>
</file>

<file path=customXml/itemProps4.xml><?xml version="1.0" encoding="utf-8"?>
<ds:datastoreItem xmlns:ds="http://schemas.openxmlformats.org/officeDocument/2006/customXml" ds:itemID="{E38ADAD2-84F4-4451-A5FE-95258554BB7D}"/>
</file>

<file path=docProps/app.xml><?xml version="1.0" encoding="utf-8"?>
<Properties xmlns="http://schemas.openxmlformats.org/officeDocument/2006/extended-properties" xmlns:vt="http://schemas.openxmlformats.org/officeDocument/2006/docPropsVTypes">
  <Template>2021_press_release_template</Template>
  <TotalTime>3</TotalTime>
  <Pages>4</Pages>
  <Words>1548</Words>
  <Characters>9140</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Dokumenty Crestcom</cp:lastModifiedBy>
  <cp:revision>2</cp:revision>
  <cp:lastPrinted>2021-12-10T07:10:00Z</cp:lastPrinted>
  <dcterms:created xsi:type="dcterms:W3CDTF">2022-12-09T08:53:00Z</dcterms:created>
  <dcterms:modified xsi:type="dcterms:W3CDTF">2022-12-09T08:53:00Z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ies>
</file>