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FE9E" w14:textId="4C8B0464" w:rsidR="00187F19" w:rsidRDefault="00BD3D9D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133424402"/>
      <w:r>
        <w:rPr>
          <w:rFonts w:ascii="Arial Black" w:hAnsi="Arial Black"/>
          <w:color w:val="E9041E"/>
          <w:sz w:val="50"/>
          <w:szCs w:val="50"/>
        </w:rPr>
        <w:t>Makro</w:t>
      </w:r>
      <w:r w:rsidRPr="00187F19">
        <w:rPr>
          <w:rFonts w:ascii="Arial Black" w:hAnsi="Arial Black"/>
          <w:color w:val="E9041E"/>
          <w:sz w:val="50"/>
          <w:szCs w:val="50"/>
        </w:rPr>
        <w:t xml:space="preserve">ekonomická prognóza </w:t>
      </w:r>
    </w:p>
    <w:p w14:paraId="2463EFB1" w14:textId="4C562D92" w:rsidR="00E83835" w:rsidRPr="00895A4F" w:rsidRDefault="00BD3D9D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Ceny energií – z padoucha hrdinou</w:t>
      </w:r>
    </w:p>
    <w:bookmarkEnd w:id="0"/>
    <w:p w14:paraId="28EF1878" w14:textId="13934DD6" w:rsidR="00283C19" w:rsidRPr="00766C5E" w:rsidRDefault="00ED1357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E8CB2" wp14:editId="344EDBC7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2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2D222" id="Skupina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AB3yzR4DAACMDAAADgAAAAAA&#10;AAAAAAAAAAAuAgAAZHJzL2Uyb0RvYy54bWxQSwECLQAUAAYACAAAACEA0vymo98AAAAIAQAADwAA&#10;AAAAAAAAAAAAAAB4BQAAZHJzL2Rvd25yZXYueG1sUEsFBgAAAAAEAAQA8wAAAIQ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895A4F">
        <w:rPr>
          <w:rFonts w:ascii="Calibri" w:hAnsi="Calibri" w:cs="Calibri"/>
          <w:sz w:val="30"/>
          <w:szCs w:val="30"/>
        </w:rPr>
        <w:t xml:space="preserve">Praha, </w:t>
      </w:r>
      <w:r w:rsidR="00187F19">
        <w:rPr>
          <w:rFonts w:ascii="Calibri" w:hAnsi="Calibri" w:cs="Calibri"/>
          <w:sz w:val="30"/>
          <w:szCs w:val="30"/>
        </w:rPr>
        <w:t>25</w:t>
      </w:r>
      <w:r w:rsidR="00895A4F">
        <w:rPr>
          <w:rFonts w:ascii="Calibri" w:hAnsi="Calibri" w:cs="Calibri"/>
          <w:sz w:val="30"/>
          <w:szCs w:val="30"/>
        </w:rPr>
        <w:t>.</w:t>
      </w:r>
      <w:r w:rsidR="00F27120">
        <w:rPr>
          <w:rFonts w:ascii="Calibri" w:hAnsi="Calibri" w:cs="Calibri"/>
          <w:sz w:val="30"/>
          <w:szCs w:val="30"/>
        </w:rPr>
        <w:t xml:space="preserve"> </w:t>
      </w:r>
      <w:r w:rsidR="00780D86">
        <w:rPr>
          <w:rFonts w:ascii="Calibri" w:hAnsi="Calibri" w:cs="Calibri"/>
          <w:sz w:val="30"/>
          <w:szCs w:val="30"/>
        </w:rPr>
        <w:t>dubna</w:t>
      </w:r>
      <w:r w:rsidR="00F27120">
        <w:rPr>
          <w:rFonts w:ascii="Calibri" w:hAnsi="Calibri" w:cs="Calibri"/>
          <w:sz w:val="30"/>
          <w:szCs w:val="30"/>
        </w:rPr>
        <w:t xml:space="preserve"> 2023</w:t>
      </w:r>
    </w:p>
    <w:p w14:paraId="5133E151" w14:textId="201ABB6C" w:rsidR="007060FC" w:rsidRDefault="007060FC" w:rsidP="00F27120">
      <w:pPr>
        <w:jc w:val="both"/>
        <w:rPr>
          <w:b/>
          <w:bCs/>
        </w:rPr>
      </w:pPr>
      <w:bookmarkStart w:id="1" w:name="_Hlk133424423"/>
      <w:r>
        <w:rPr>
          <w:b/>
          <w:bCs/>
        </w:rPr>
        <w:t>Loňský</w:t>
      </w:r>
      <w:r w:rsidRPr="007060FC">
        <w:rPr>
          <w:b/>
          <w:bCs/>
        </w:rPr>
        <w:t xml:space="preserve"> </w:t>
      </w:r>
      <w:r w:rsidR="00255DE9">
        <w:rPr>
          <w:b/>
          <w:bCs/>
        </w:rPr>
        <w:t>stagflační</w:t>
      </w:r>
      <w:r w:rsidR="00255DE9" w:rsidRPr="007060FC">
        <w:rPr>
          <w:b/>
          <w:bCs/>
        </w:rPr>
        <w:t xml:space="preserve"> </w:t>
      </w:r>
      <w:r w:rsidRPr="007060FC">
        <w:rPr>
          <w:b/>
          <w:bCs/>
        </w:rPr>
        <w:t>obrázek je za námi. Tuzemská ekon</w:t>
      </w:r>
      <w:r>
        <w:rPr>
          <w:b/>
          <w:bCs/>
        </w:rPr>
        <w:t>o</w:t>
      </w:r>
      <w:r w:rsidRPr="007060FC">
        <w:rPr>
          <w:b/>
          <w:bCs/>
        </w:rPr>
        <w:t>mika si v lo</w:t>
      </w:r>
      <w:r>
        <w:rPr>
          <w:b/>
          <w:bCs/>
        </w:rPr>
        <w:t>ň</w:t>
      </w:r>
      <w:r w:rsidRPr="007060FC">
        <w:rPr>
          <w:b/>
          <w:bCs/>
        </w:rPr>
        <w:t>ském druh</w:t>
      </w:r>
      <w:r>
        <w:rPr>
          <w:b/>
          <w:bCs/>
        </w:rPr>
        <w:t>é</w:t>
      </w:r>
      <w:r w:rsidRPr="007060FC">
        <w:rPr>
          <w:b/>
          <w:bCs/>
        </w:rPr>
        <w:t>m pololetí prošla mírnou a pou</w:t>
      </w:r>
      <w:r>
        <w:rPr>
          <w:b/>
          <w:bCs/>
        </w:rPr>
        <w:t>z</w:t>
      </w:r>
      <w:r w:rsidRPr="007060FC">
        <w:rPr>
          <w:b/>
          <w:bCs/>
        </w:rPr>
        <w:t>e technickou recesí, která se prakticky neprojevila na trhu práce</w:t>
      </w:r>
      <w:r>
        <w:rPr>
          <w:b/>
          <w:bCs/>
        </w:rPr>
        <w:t xml:space="preserve">, ale tím pádem ani </w:t>
      </w:r>
      <w:r w:rsidRPr="007060FC">
        <w:rPr>
          <w:b/>
          <w:bCs/>
        </w:rPr>
        <w:t>na inflačním vývoji. Letošek ji</w:t>
      </w:r>
      <w:r>
        <w:rPr>
          <w:b/>
          <w:bCs/>
        </w:rPr>
        <w:t>ž</w:t>
      </w:r>
      <w:r w:rsidRPr="007060FC">
        <w:rPr>
          <w:b/>
          <w:bCs/>
        </w:rPr>
        <w:t xml:space="preserve"> bude ve znam</w:t>
      </w:r>
      <w:r>
        <w:rPr>
          <w:b/>
          <w:bCs/>
        </w:rPr>
        <w:t>e</w:t>
      </w:r>
      <w:r w:rsidRPr="007060FC">
        <w:rPr>
          <w:b/>
          <w:bCs/>
        </w:rPr>
        <w:t>ní ekonomického růstu. Ten je patrný již od počátku roku. Povzbudivý je zejména výv</w:t>
      </w:r>
      <w:r>
        <w:rPr>
          <w:b/>
          <w:bCs/>
        </w:rPr>
        <w:t>o</w:t>
      </w:r>
      <w:r w:rsidRPr="007060FC">
        <w:rPr>
          <w:b/>
          <w:bCs/>
        </w:rPr>
        <w:t xml:space="preserve">j v Německu. </w:t>
      </w:r>
      <w:r w:rsidR="00A35BD9">
        <w:rPr>
          <w:b/>
          <w:bCs/>
        </w:rPr>
        <w:t>Již ve třetím čtvrtletí předpokládáme překo</w:t>
      </w:r>
      <w:r w:rsidR="00B07516">
        <w:rPr>
          <w:b/>
          <w:bCs/>
        </w:rPr>
        <w:t>n</w:t>
      </w:r>
      <w:r w:rsidR="00A35BD9">
        <w:rPr>
          <w:b/>
          <w:bCs/>
        </w:rPr>
        <w:t xml:space="preserve">ání </w:t>
      </w:r>
      <w:r w:rsidR="002B7627">
        <w:rPr>
          <w:b/>
          <w:bCs/>
        </w:rPr>
        <w:t xml:space="preserve">domácího </w:t>
      </w:r>
      <w:proofErr w:type="spellStart"/>
      <w:r w:rsidR="00A35BD9">
        <w:rPr>
          <w:b/>
          <w:bCs/>
        </w:rPr>
        <w:t>předpandemického</w:t>
      </w:r>
      <w:proofErr w:type="spellEnd"/>
      <w:r w:rsidR="00A35BD9">
        <w:rPr>
          <w:b/>
          <w:bCs/>
        </w:rPr>
        <w:t xml:space="preserve"> maxima. Inflace letos půjde dolů, když </w:t>
      </w:r>
      <w:r w:rsidR="00B07516">
        <w:rPr>
          <w:b/>
          <w:bCs/>
        </w:rPr>
        <w:t>výrazně</w:t>
      </w:r>
      <w:r w:rsidR="00A35BD9">
        <w:rPr>
          <w:b/>
          <w:bCs/>
        </w:rPr>
        <w:t xml:space="preserve"> pomohou </w:t>
      </w:r>
      <w:r w:rsidR="00255DE9">
        <w:rPr>
          <w:b/>
          <w:bCs/>
        </w:rPr>
        <w:t xml:space="preserve">nižší </w:t>
      </w:r>
      <w:r w:rsidR="00A35BD9">
        <w:rPr>
          <w:b/>
          <w:bCs/>
        </w:rPr>
        <w:t xml:space="preserve">ceny </w:t>
      </w:r>
      <w:r w:rsidR="00255DE9">
        <w:rPr>
          <w:b/>
          <w:bCs/>
        </w:rPr>
        <w:t>energií</w:t>
      </w:r>
      <w:r w:rsidR="00A35BD9">
        <w:rPr>
          <w:b/>
          <w:bCs/>
        </w:rPr>
        <w:t>. Zatím</w:t>
      </w:r>
      <w:r w:rsidR="00B07516">
        <w:rPr>
          <w:b/>
          <w:bCs/>
        </w:rPr>
        <w:t>c</w:t>
      </w:r>
      <w:r w:rsidR="00A35BD9">
        <w:rPr>
          <w:b/>
          <w:bCs/>
        </w:rPr>
        <w:t>o v </w:t>
      </w:r>
      <w:r w:rsidR="00B07516">
        <w:rPr>
          <w:b/>
          <w:bCs/>
        </w:rPr>
        <w:t>loňském</w:t>
      </w:r>
      <w:r w:rsidR="00A35BD9">
        <w:rPr>
          <w:b/>
          <w:bCs/>
        </w:rPr>
        <w:t xml:space="preserve"> </w:t>
      </w:r>
      <w:r w:rsidR="00B07516">
        <w:rPr>
          <w:b/>
          <w:bCs/>
        </w:rPr>
        <w:t>roce</w:t>
      </w:r>
      <w:r w:rsidR="00A35BD9">
        <w:rPr>
          <w:b/>
          <w:bCs/>
        </w:rPr>
        <w:t xml:space="preserve"> </w:t>
      </w:r>
      <w:r w:rsidR="00B07516">
        <w:rPr>
          <w:b/>
          <w:bCs/>
        </w:rPr>
        <w:t>působily</w:t>
      </w:r>
      <w:r w:rsidR="00A35BD9">
        <w:rPr>
          <w:b/>
          <w:bCs/>
        </w:rPr>
        <w:t xml:space="preserve"> </w:t>
      </w:r>
      <w:r w:rsidR="00B07516">
        <w:rPr>
          <w:b/>
          <w:bCs/>
        </w:rPr>
        <w:t>výrazně</w:t>
      </w:r>
      <w:r w:rsidR="00A35BD9">
        <w:rPr>
          <w:b/>
          <w:bCs/>
        </w:rPr>
        <w:t xml:space="preserve"> ve </w:t>
      </w:r>
      <w:r w:rsidR="00B07516">
        <w:rPr>
          <w:b/>
          <w:bCs/>
        </w:rPr>
        <w:t>prospěch</w:t>
      </w:r>
      <w:r w:rsidR="00A35BD9">
        <w:rPr>
          <w:b/>
          <w:bCs/>
        </w:rPr>
        <w:t xml:space="preserve"> vyššího růstu cen, </w:t>
      </w:r>
      <w:r w:rsidR="00B07516">
        <w:rPr>
          <w:b/>
          <w:bCs/>
        </w:rPr>
        <w:t>letos</w:t>
      </w:r>
      <w:r w:rsidR="00A35BD9">
        <w:rPr>
          <w:b/>
          <w:bCs/>
        </w:rPr>
        <w:t xml:space="preserve"> budou </w:t>
      </w:r>
      <w:r w:rsidR="00B07516">
        <w:rPr>
          <w:b/>
          <w:bCs/>
        </w:rPr>
        <w:t>významným</w:t>
      </w:r>
      <w:r w:rsidR="00A35BD9">
        <w:rPr>
          <w:b/>
          <w:bCs/>
        </w:rPr>
        <w:t xml:space="preserve"> desinflačním </w:t>
      </w:r>
      <w:r w:rsidR="00B07516">
        <w:rPr>
          <w:b/>
          <w:bCs/>
        </w:rPr>
        <w:t>faktorem</w:t>
      </w:r>
      <w:r w:rsidR="00A35BD9">
        <w:rPr>
          <w:b/>
          <w:bCs/>
        </w:rPr>
        <w:t xml:space="preserve">. </w:t>
      </w:r>
      <w:r w:rsidR="00B07516">
        <w:rPr>
          <w:b/>
          <w:bCs/>
        </w:rPr>
        <w:t>Již počátkem příštího roku se tak inflace dostane do inflačního koridoru. Její jádrová složka ale bude klesat výrazně pomaleji. ČNB tak bude po většinu letošního roku držet sazby nezměněné</w:t>
      </w:r>
      <w:r w:rsidR="0087651A">
        <w:rPr>
          <w:b/>
          <w:bCs/>
        </w:rPr>
        <w:t>,</w:t>
      </w:r>
      <w:r w:rsidR="00B07516">
        <w:rPr>
          <w:b/>
          <w:bCs/>
        </w:rPr>
        <w:t xml:space="preserve"> a i nadále bude preferovat silnou korunu.</w:t>
      </w:r>
    </w:p>
    <w:bookmarkEnd w:id="1"/>
    <w:p w14:paraId="78AE58E3" w14:textId="180BD3CC" w:rsidR="003B5AC3" w:rsidRDefault="003B5AC3" w:rsidP="00F27120">
      <w:pPr>
        <w:jc w:val="both"/>
        <w:rPr>
          <w:b/>
          <w:bCs/>
        </w:rPr>
      </w:pPr>
      <w:r>
        <w:rPr>
          <w:b/>
          <w:bCs/>
        </w:rPr>
        <w:t xml:space="preserve">Loňský stagflační syndrom je na ústupu. </w:t>
      </w:r>
      <w:r w:rsidR="00C611AF">
        <w:t>P</w:t>
      </w:r>
      <w:r w:rsidRPr="003B5AC3">
        <w:t>rognóza Komerč</w:t>
      </w:r>
      <w:r>
        <w:t>n</w:t>
      </w:r>
      <w:r w:rsidRPr="003B5AC3">
        <w:t xml:space="preserve">í banky byla pro letošní rok vylepšena, když aktuálně počítá s reálným růstem české ekonomiky o 0,6 % </w:t>
      </w:r>
      <w:r>
        <w:t>oproti</w:t>
      </w:r>
      <w:r w:rsidRPr="003B5AC3">
        <w:t xml:space="preserve"> 0,3 % předpokládaným v lednové prognóze. </w:t>
      </w:r>
      <w:r>
        <w:t xml:space="preserve">Naopak inflační výhled byl </w:t>
      </w:r>
      <w:r w:rsidR="00BD5569">
        <w:t xml:space="preserve">pro letošek </w:t>
      </w:r>
      <w:r>
        <w:t>revidován níže</w:t>
      </w:r>
      <w:r w:rsidR="00BD5569">
        <w:t xml:space="preserve">, z původních </w:t>
      </w:r>
      <w:r w:rsidR="00BE33C7">
        <w:t xml:space="preserve">12,9 % </w:t>
      </w:r>
      <w:r w:rsidR="00BD5569">
        <w:t xml:space="preserve">se dostáváme na </w:t>
      </w:r>
      <w:r w:rsidR="00BE33C7">
        <w:t>11,8 %. „</w:t>
      </w:r>
      <w:r w:rsidR="00BE33C7" w:rsidRPr="00BE33C7">
        <w:rPr>
          <w:i/>
          <w:iCs/>
        </w:rPr>
        <w:t>Klíčovou proměnnou, která ovlivnila přípravu aktuální makroekonomické prognózy, byly ceny energií</w:t>
      </w:r>
      <w:r w:rsidR="00BE33C7">
        <w:t xml:space="preserve">“ odhaluje hlavní ekonom Komerční banky Jan Vejmělek. A dodává: </w:t>
      </w:r>
      <w:r w:rsidR="00BE33C7" w:rsidRPr="00BE4283">
        <w:rPr>
          <w:i/>
          <w:iCs/>
        </w:rPr>
        <w:t>„Zatímco vloni extrémní zdražení energetických komodit významně přispělo k inflaci i recesi, letos tomu bude úplně naopak. Zkrátka z padoucha se stal hrdina.“</w:t>
      </w:r>
      <w:r w:rsidR="00BE33C7">
        <w:t xml:space="preserve"> </w:t>
      </w:r>
    </w:p>
    <w:p w14:paraId="27734160" w14:textId="41D8EE52" w:rsidR="006C43F6" w:rsidRDefault="003B5AC3" w:rsidP="00F27120">
      <w:pPr>
        <w:jc w:val="both"/>
      </w:pPr>
      <w:r>
        <w:rPr>
          <w:b/>
          <w:bCs/>
        </w:rPr>
        <w:t>P</w:t>
      </w:r>
      <w:r w:rsidR="00BE33C7">
        <w:rPr>
          <w:b/>
          <w:bCs/>
        </w:rPr>
        <w:t>o</w:t>
      </w:r>
      <w:r>
        <w:rPr>
          <w:b/>
          <w:bCs/>
        </w:rPr>
        <w:t xml:space="preserve"> celý l</w:t>
      </w:r>
      <w:r w:rsidR="00BD5569">
        <w:rPr>
          <w:b/>
          <w:bCs/>
        </w:rPr>
        <w:t>e</w:t>
      </w:r>
      <w:r>
        <w:rPr>
          <w:b/>
          <w:bCs/>
        </w:rPr>
        <w:t xml:space="preserve">tošní rok </w:t>
      </w:r>
      <w:r w:rsidR="00BD5569">
        <w:rPr>
          <w:b/>
          <w:bCs/>
        </w:rPr>
        <w:t xml:space="preserve">tuzemské hospodářství </w:t>
      </w:r>
      <w:r>
        <w:rPr>
          <w:b/>
          <w:bCs/>
        </w:rPr>
        <w:t>poroste</w:t>
      </w:r>
      <w:r w:rsidR="006C43F6">
        <w:rPr>
          <w:b/>
          <w:bCs/>
        </w:rPr>
        <w:t xml:space="preserve">, růst bude sice pomalu, ale jistě zrychlovat. </w:t>
      </w:r>
      <w:r w:rsidR="006C43F6" w:rsidRPr="006C43F6">
        <w:t xml:space="preserve">Mezičtvrtletní </w:t>
      </w:r>
      <w:r w:rsidR="002B7627">
        <w:t xml:space="preserve">dynamika </w:t>
      </w:r>
      <w:r w:rsidR="006C43F6" w:rsidRPr="006C43F6">
        <w:t xml:space="preserve">za </w:t>
      </w:r>
      <w:r w:rsidR="006C43F6">
        <w:t>první</w:t>
      </w:r>
      <w:r w:rsidR="006C43F6" w:rsidRPr="006C43F6">
        <w:t xml:space="preserve"> kvartál dosáhne 0,2 %, v závěru letošního roku to již bude 0,5 %. </w:t>
      </w:r>
      <w:r w:rsidR="006C43F6">
        <w:t>Z hlediska struktury se pozitivně projeví vývoj u našich klíčových obchodních partnerů. „</w:t>
      </w:r>
      <w:r w:rsidR="006C43F6" w:rsidRPr="00E05345">
        <w:rPr>
          <w:i/>
          <w:iCs/>
        </w:rPr>
        <w:t>Výsledky německé průmyslové výroby j</w:t>
      </w:r>
      <w:r w:rsidR="00F37790" w:rsidRPr="00E05345">
        <w:rPr>
          <w:i/>
          <w:iCs/>
        </w:rPr>
        <w:t>so</w:t>
      </w:r>
      <w:r w:rsidR="006C43F6" w:rsidRPr="00E05345">
        <w:rPr>
          <w:i/>
          <w:iCs/>
        </w:rPr>
        <w:t xml:space="preserve">u </w:t>
      </w:r>
      <w:r w:rsidR="00354AAD">
        <w:rPr>
          <w:i/>
          <w:iCs/>
        </w:rPr>
        <w:t>z</w:t>
      </w:r>
      <w:r w:rsidR="006C43F6" w:rsidRPr="00E05345">
        <w:rPr>
          <w:i/>
          <w:iCs/>
        </w:rPr>
        <w:t xml:space="preserve">a první měsíce letošního roku famózní. Pomohly nižší ceny energií, ustoupily potíže v globálních </w:t>
      </w:r>
      <w:r w:rsidR="00F37790" w:rsidRPr="00E05345">
        <w:rPr>
          <w:i/>
          <w:iCs/>
        </w:rPr>
        <w:t>dodavatelských</w:t>
      </w:r>
      <w:r w:rsidR="006C43F6" w:rsidRPr="00E05345">
        <w:rPr>
          <w:i/>
          <w:iCs/>
        </w:rPr>
        <w:t xml:space="preserve"> </w:t>
      </w:r>
      <w:r w:rsidR="00F37790" w:rsidRPr="00E05345">
        <w:rPr>
          <w:i/>
          <w:iCs/>
        </w:rPr>
        <w:t>řetězcích</w:t>
      </w:r>
      <w:r w:rsidR="006C43F6" w:rsidRPr="00E05345">
        <w:rPr>
          <w:i/>
          <w:iCs/>
        </w:rPr>
        <w:t xml:space="preserve"> a </w:t>
      </w:r>
      <w:r w:rsidR="00F37790" w:rsidRPr="00E05345">
        <w:rPr>
          <w:i/>
          <w:iCs/>
        </w:rPr>
        <w:t>v </w:t>
      </w:r>
      <w:r w:rsidR="00E05345" w:rsidRPr="00E05345">
        <w:rPr>
          <w:i/>
          <w:iCs/>
        </w:rPr>
        <w:t>neposlední</w:t>
      </w:r>
      <w:r w:rsidR="00F37790" w:rsidRPr="00E05345">
        <w:rPr>
          <w:i/>
          <w:iCs/>
        </w:rPr>
        <w:t xml:space="preserve"> řadě se projevilo </w:t>
      </w:r>
      <w:r w:rsidR="00E05345" w:rsidRPr="00E05345">
        <w:rPr>
          <w:i/>
          <w:iCs/>
        </w:rPr>
        <w:t>silné</w:t>
      </w:r>
      <w:r w:rsidR="00F37790" w:rsidRPr="00E05345">
        <w:rPr>
          <w:i/>
          <w:iCs/>
        </w:rPr>
        <w:t xml:space="preserve"> oživ</w:t>
      </w:r>
      <w:r w:rsidR="00E05345" w:rsidRPr="00E05345">
        <w:rPr>
          <w:i/>
          <w:iCs/>
        </w:rPr>
        <w:t>e</w:t>
      </w:r>
      <w:r w:rsidR="00F37790" w:rsidRPr="00E05345">
        <w:rPr>
          <w:i/>
          <w:iCs/>
        </w:rPr>
        <w:t>ní čín</w:t>
      </w:r>
      <w:r w:rsidR="00E05345" w:rsidRPr="00E05345">
        <w:rPr>
          <w:i/>
          <w:iCs/>
        </w:rPr>
        <w:t>s</w:t>
      </w:r>
      <w:r w:rsidR="00F37790" w:rsidRPr="00E05345">
        <w:rPr>
          <w:i/>
          <w:iCs/>
        </w:rPr>
        <w:t>ké ekonomiky po ukončení pandemických uzávěr</w:t>
      </w:r>
      <w:r w:rsidR="00F37790">
        <w:t xml:space="preserve">“, hodnotí </w:t>
      </w:r>
      <w:r w:rsidR="00E05345">
        <w:t>silné</w:t>
      </w:r>
      <w:r w:rsidR="00F37790">
        <w:t xml:space="preserve"> vnější </w:t>
      </w:r>
      <w:r w:rsidR="00E05345">
        <w:t>prostředí</w:t>
      </w:r>
      <w:r w:rsidR="00F37790">
        <w:t xml:space="preserve"> Jana </w:t>
      </w:r>
      <w:proofErr w:type="spellStart"/>
      <w:r w:rsidR="00F37790">
        <w:t>Steckerová</w:t>
      </w:r>
      <w:proofErr w:type="spellEnd"/>
      <w:r w:rsidR="00F37790">
        <w:t xml:space="preserve">, ekonomka KB. </w:t>
      </w:r>
      <w:r w:rsidR="00AD2551">
        <w:t>Postupně se bude přidávat domácí poptávka. Tu investiční budou podporovat prostředky z fondů EU</w:t>
      </w:r>
      <w:r w:rsidR="00354AAD">
        <w:t>.</w:t>
      </w:r>
      <w:r w:rsidR="00AD2551">
        <w:t xml:space="preserve"> </w:t>
      </w:r>
      <w:r w:rsidR="00354AAD">
        <w:t xml:space="preserve"> „</w:t>
      </w:r>
      <w:r w:rsidR="00354AAD" w:rsidRPr="00BE4283">
        <w:rPr>
          <w:i/>
          <w:iCs/>
        </w:rPr>
        <w:t>Spotřeba domácností by se po předchozím hlubokém poklesu měla zvyšovat po celý letošní rok. Obavy spotřebitelů ohledně dopadů vysokých cen energií ustoupily, inflace již zřejmě dosáhla svého vrcholu a příjmovou situaci domácností by měl postupně vylepšovat zrychlující růst mezd</w:t>
      </w:r>
      <w:r w:rsidR="00354AAD">
        <w:t xml:space="preserve">.“, uvádí Martin </w:t>
      </w:r>
      <w:proofErr w:type="spellStart"/>
      <w:r w:rsidR="00354AAD">
        <w:t>Gürtler</w:t>
      </w:r>
      <w:proofErr w:type="spellEnd"/>
      <w:r w:rsidR="00354AAD">
        <w:t>, ekonom KB.</w:t>
      </w:r>
    </w:p>
    <w:p w14:paraId="584EA0CC" w14:textId="5A8A3F5B" w:rsidR="008A0550" w:rsidRPr="00BE4283" w:rsidRDefault="00C611AF" w:rsidP="00187F19">
      <w:pPr>
        <w:jc w:val="both"/>
      </w:pPr>
      <w:r w:rsidRPr="00BE4283">
        <w:rPr>
          <w:b/>
          <w:bCs/>
        </w:rPr>
        <w:t>Inflace v meziročním vyjádření již dosáhla svého vrcholu a bude dále klesat, i tak ale její průměr za celý letošní rok bude podle naší prognózy činit 11,8 %. V roce příštím již inflace klesne na 2 %.</w:t>
      </w:r>
      <w:r w:rsidRPr="00BE4283">
        <w:t xml:space="preserve"> Ceny energií na velkoobchodních trzích klesly na předválečné úrovně a jednotliv</w:t>
      </w:r>
      <w:r w:rsidR="00BE4283">
        <w:t>í</w:t>
      </w:r>
      <w:r w:rsidRPr="00BE4283">
        <w:t xml:space="preserve"> </w:t>
      </w:r>
      <w:r w:rsidR="008A0550" w:rsidRPr="00BE4283">
        <w:t xml:space="preserve">tuzemští </w:t>
      </w:r>
      <w:r w:rsidRPr="00BE4283">
        <w:t>dodavatelé již začínají tento vývoj zohledňovat v cenách pro konečné spotřebitele, z nichž většina se dosud nacházela na úrovni vládních cenových stropů. „</w:t>
      </w:r>
      <w:r w:rsidRPr="00BE4283">
        <w:rPr>
          <w:i/>
          <w:iCs/>
        </w:rPr>
        <w:t xml:space="preserve">Očekáváme, že přeliv nižších velkoobchodních cen energií do těch spotřebitelských bude v letošním roce pouze pozvolný a k většímu průsaku dojde až na začátku příštího roku. </w:t>
      </w:r>
      <w:r w:rsidR="008A0550" w:rsidRPr="00BE4283">
        <w:rPr>
          <w:i/>
          <w:iCs/>
        </w:rPr>
        <w:t xml:space="preserve">Celkově ale výrazně </w:t>
      </w:r>
      <w:r w:rsidR="008A0550" w:rsidRPr="00BE4283">
        <w:rPr>
          <w:i/>
          <w:iCs/>
        </w:rPr>
        <w:lastRenderedPageBreak/>
        <w:t>nižší cen</w:t>
      </w:r>
      <w:r w:rsidR="00255DE9" w:rsidRPr="00BE4283">
        <w:rPr>
          <w:i/>
          <w:iCs/>
        </w:rPr>
        <w:t>y</w:t>
      </w:r>
      <w:r w:rsidR="008A0550" w:rsidRPr="00BE4283">
        <w:rPr>
          <w:i/>
          <w:iCs/>
        </w:rPr>
        <w:t xml:space="preserve"> energií pomohou stlačit inflaci směrem dolů, v příštím roce dokonce až na cíl ČNB.</w:t>
      </w:r>
      <w:r w:rsidRPr="00BE4283">
        <w:t>“</w:t>
      </w:r>
      <w:r w:rsidR="008A0550" w:rsidRPr="00BE4283">
        <w:t xml:space="preserve"> popisuje očekávanou strukturu vývoje spotřebitelských cen Martin </w:t>
      </w:r>
      <w:proofErr w:type="spellStart"/>
      <w:r w:rsidR="008A0550" w:rsidRPr="00BE4283">
        <w:t>Gürtler</w:t>
      </w:r>
      <w:proofErr w:type="spellEnd"/>
      <w:r w:rsidR="008A0550" w:rsidRPr="00BE4283">
        <w:t xml:space="preserve">. </w:t>
      </w:r>
    </w:p>
    <w:p w14:paraId="14F9A3E0" w14:textId="0EEF07F7" w:rsidR="00C611AF" w:rsidRPr="00BE4283" w:rsidRDefault="008A0550" w:rsidP="00187F19">
      <w:pPr>
        <w:jc w:val="both"/>
      </w:pPr>
      <w:r w:rsidRPr="00FA18D0">
        <w:rPr>
          <w:b/>
          <w:bCs/>
        </w:rPr>
        <w:t>Tuzemští centrální bankéři dávají nadále najevo svou neochotu úrokové sazby měnit jedním či druhým směrem.</w:t>
      </w:r>
      <w:r w:rsidRPr="00FA18D0">
        <w:t xml:space="preserve"> V kombinaci s dosud pozorovanou a očekávanou perzistencí jádrové inflace jsme odložil</w:t>
      </w:r>
      <w:r w:rsidR="00255DE9" w:rsidRPr="00FA18D0">
        <w:t>i</w:t>
      </w:r>
      <w:r w:rsidRPr="00FA18D0">
        <w:t xml:space="preserve"> námi očekáváný počátek snižování úrokových sazeb ČNB a v naší prognóze jsm</w:t>
      </w:r>
      <w:r w:rsidR="00994BC2" w:rsidRPr="00FA18D0">
        <w:t>e</w:t>
      </w:r>
      <w:r w:rsidRPr="00FA18D0">
        <w:t xml:space="preserve"> zároveň snížil</w:t>
      </w:r>
      <w:r w:rsidR="00255DE9" w:rsidRPr="00FA18D0">
        <w:t>i</w:t>
      </w:r>
      <w:r w:rsidRPr="00FA18D0">
        <w:t xml:space="preserve"> odhadované tempo s jakým ke snižování úrokových sazeb bude docházet. „</w:t>
      </w:r>
      <w:r w:rsidRPr="00FA18D0">
        <w:rPr>
          <w:i/>
          <w:iCs/>
        </w:rPr>
        <w:t>První snížení úrokových sazeb čekáme letos v září. Na konci letošní</w:t>
      </w:r>
      <w:r w:rsidR="00255DE9" w:rsidRPr="00FA18D0">
        <w:rPr>
          <w:i/>
          <w:iCs/>
        </w:rPr>
        <w:t>ho</w:t>
      </w:r>
      <w:r w:rsidRPr="00FA18D0">
        <w:rPr>
          <w:i/>
          <w:iCs/>
        </w:rPr>
        <w:t xml:space="preserve"> roku by se podle nás měla základní </w:t>
      </w:r>
      <w:proofErr w:type="spellStart"/>
      <w:r w:rsidRPr="00FA18D0">
        <w:rPr>
          <w:i/>
          <w:iCs/>
        </w:rPr>
        <w:t>repo</w:t>
      </w:r>
      <w:proofErr w:type="spellEnd"/>
      <w:r w:rsidRPr="00FA18D0">
        <w:rPr>
          <w:i/>
          <w:iCs/>
        </w:rPr>
        <w:t xml:space="preserve"> sazba pohybovat na </w:t>
      </w:r>
      <w:r w:rsidR="00FA18D0" w:rsidRPr="00FA18D0">
        <w:rPr>
          <w:i/>
          <w:iCs/>
        </w:rPr>
        <w:t>6,25</w:t>
      </w:r>
      <w:r w:rsidRPr="00FA18D0">
        <w:rPr>
          <w:i/>
          <w:iCs/>
        </w:rPr>
        <w:t> % a rovnovážných 3 % dosáhne až na konci roku 2025.</w:t>
      </w:r>
      <w:r w:rsidRPr="00FA18D0">
        <w:t xml:space="preserve">“, říká Martin </w:t>
      </w:r>
      <w:proofErr w:type="spellStart"/>
      <w:r w:rsidRPr="00FA18D0">
        <w:t>Gürtler</w:t>
      </w:r>
      <w:proofErr w:type="spellEnd"/>
      <w:r w:rsidRPr="00FA18D0">
        <w:t xml:space="preserve">. Ten zároveň dodává, že </w:t>
      </w:r>
      <w:r w:rsidR="00255DE9" w:rsidRPr="00FA18D0">
        <w:t>„</w:t>
      </w:r>
      <w:r w:rsidR="00BE4283" w:rsidRPr="00FA18D0">
        <w:rPr>
          <w:i/>
          <w:iCs/>
        </w:rPr>
        <w:t>j</w:t>
      </w:r>
      <w:r w:rsidR="00255DE9" w:rsidRPr="00FA18D0">
        <w:rPr>
          <w:i/>
          <w:iCs/>
        </w:rPr>
        <w:t>ádrová inflace bude klesat jen velmi pomalu, k čemuž přispěje vyšší růst nominálních mezd, který v letošním roce v průměru přesáhne 10 %</w:t>
      </w:r>
      <w:r w:rsidR="00255DE9" w:rsidRPr="00FA18D0">
        <w:t>“</w:t>
      </w:r>
      <w:r w:rsidR="00BE4283" w:rsidRPr="00FA18D0">
        <w:t>.</w:t>
      </w:r>
    </w:p>
    <w:p w14:paraId="77B914DB" w14:textId="1BB439A7" w:rsidR="00611139" w:rsidRPr="00611139" w:rsidRDefault="00611139" w:rsidP="00611139">
      <w:pPr>
        <w:jc w:val="both"/>
      </w:pPr>
      <w:r w:rsidRPr="00611139">
        <w:rPr>
          <w:b/>
          <w:bCs/>
        </w:rPr>
        <w:t>Pokračující návrat investorů do středoevropského regionu a oživení zahraničního obchodu v prvním čtvrtletí letošního roku pomohly koruně k silnějším úrovním.</w:t>
      </w:r>
      <w:r w:rsidRPr="00611139">
        <w:t xml:space="preserve"> Ochrannou ruku nad tuzemskou měnou pak nadále drží ČNB. Výrazně posilující trend si koruna podle nás, zejména v souvislosti s dalším zužováním úrokového diferenciálu a dosavadním citelným reálným zpevněním, však </w:t>
      </w:r>
      <w:proofErr w:type="gramStart"/>
      <w:r w:rsidRPr="00611139">
        <w:t>neudrží</w:t>
      </w:r>
      <w:proofErr w:type="gramEnd"/>
      <w:r w:rsidRPr="00611139">
        <w:t>. „</w:t>
      </w:r>
      <w:r w:rsidRPr="00611139">
        <w:rPr>
          <w:i/>
          <w:iCs/>
        </w:rPr>
        <w:t>V ročním horizontu předpokládáme její mírné oslabení k 23,80 CZK/EUR</w:t>
      </w:r>
      <w:r w:rsidRPr="00611139">
        <w:t xml:space="preserve">“, odhaluje kurzový výhled Jaromír Gec, stratég </w:t>
      </w:r>
      <w:r w:rsidR="009D4E3C">
        <w:t>KB</w:t>
      </w:r>
      <w:r w:rsidRPr="00611139">
        <w:t>.</w:t>
      </w:r>
    </w:p>
    <w:p w14:paraId="1AE1CBA6" w14:textId="5B4227C1" w:rsidR="00187F19" w:rsidRPr="00611139" w:rsidRDefault="00611139" w:rsidP="00611139">
      <w:pPr>
        <w:jc w:val="both"/>
      </w:pPr>
      <w:r w:rsidRPr="00611139">
        <w:rPr>
          <w:b/>
          <w:bCs/>
        </w:rPr>
        <w:t>Státní rozpočet se stále nevymanil z krizového módu.</w:t>
      </w:r>
      <w:r w:rsidRPr="00611139">
        <w:t xml:space="preserve"> Deficit ve výši 166,2 mld. za první čtvrtletí je vůbec nejhorším vstupem do nového roku v historii samostatné ČR.  Zčásti se na tom však podílela mimořádná opatření a časový nesoulad mezi tokem příjmů a výdajů. „</w:t>
      </w:r>
      <w:r w:rsidRPr="00611139">
        <w:rPr>
          <w:i/>
          <w:iCs/>
        </w:rPr>
        <w:t>Hranici 300 mld. Kč však podle nás deficit letos pravděpodobně překročí, a to alespoň o 20 mld. Kč, přestože schválený schodek činí 295 mld. Kč</w:t>
      </w:r>
      <w:r w:rsidRPr="00611139">
        <w:t xml:space="preserve">,“, míní Jaromír Gec. Podílet by se na tom měla </w:t>
      </w:r>
      <w:r w:rsidR="00AB5B0A">
        <w:t>mimo jiné</w:t>
      </w:r>
      <w:r w:rsidRPr="00611139">
        <w:t xml:space="preserve"> v původním návrhu nezahrnutá další mimořádná valorizace starobních důchodů, ale i relativně utlumený růst ekonomiky. </w:t>
      </w:r>
    </w:p>
    <w:p w14:paraId="3EB9B74A" w14:textId="7395CB0B" w:rsidR="00994BC2" w:rsidRDefault="00994BC2" w:rsidP="00994BC2">
      <w:pPr>
        <w:jc w:val="both"/>
      </w:pPr>
      <w:r w:rsidRPr="00994BC2">
        <w:rPr>
          <w:b/>
          <w:bCs/>
        </w:rPr>
        <w:t xml:space="preserve">Úvěrová aktivita domácností již výrazně </w:t>
      </w:r>
      <w:r w:rsidR="00FA18D0">
        <w:rPr>
          <w:b/>
          <w:bCs/>
        </w:rPr>
        <w:t>ochladla</w:t>
      </w:r>
      <w:r w:rsidR="00FA18D0" w:rsidRPr="00994BC2">
        <w:rPr>
          <w:b/>
          <w:bCs/>
        </w:rPr>
        <w:t xml:space="preserve"> </w:t>
      </w:r>
      <w:r w:rsidRPr="00994BC2">
        <w:rPr>
          <w:b/>
          <w:bCs/>
        </w:rPr>
        <w:t>v závěr</w:t>
      </w:r>
      <w:r w:rsidR="00FA18D0">
        <w:rPr>
          <w:b/>
          <w:bCs/>
        </w:rPr>
        <w:t>u</w:t>
      </w:r>
      <w:r w:rsidRPr="00994BC2">
        <w:rPr>
          <w:b/>
          <w:bCs/>
        </w:rPr>
        <w:t xml:space="preserve"> loňského roku.</w:t>
      </w:r>
      <w:r>
        <w:t xml:space="preserve"> K většímu zpomalení má letos našlápnuto i podnikatelský sektor. Hypoteční trh kvůli zvýšeným úrokovým sazbám zůstane i letos v útlumu. </w:t>
      </w:r>
      <w:r w:rsidRPr="00994BC2">
        <w:rPr>
          <w:i/>
          <w:iCs/>
        </w:rPr>
        <w:t>„S postupným poklesem úrokových sazeb a podporou v podobě letošního solidního mzdového růstu by k</w:t>
      </w:r>
      <w:r w:rsidR="00F66FB4">
        <w:rPr>
          <w:i/>
          <w:iCs/>
        </w:rPr>
        <w:t> </w:t>
      </w:r>
      <w:r w:rsidRPr="00994BC2">
        <w:rPr>
          <w:i/>
          <w:iCs/>
        </w:rPr>
        <w:t>významnějšímu oživení mělo dojít až v příštím roce“</w:t>
      </w:r>
      <w:r>
        <w:t xml:space="preserve">, dodává Kevin Tran Nguyen, ekonom KB. Pomalé rozmrazování hypotečního trhu bude doprovázeno pouze mírnou korekcí cen na nemovitostním trhu. </w:t>
      </w: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715"/>
        <w:gridCol w:w="708"/>
        <w:gridCol w:w="708"/>
      </w:tblGrid>
      <w:tr w:rsidR="00CB00F0" w:rsidRPr="00CB00F0" w14:paraId="29C9BA98" w14:textId="77777777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68D77ABD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cs-CZ"/>
              </w:rPr>
              <w:t>Hlavní ekonomické proměnné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2D8C80E6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0239C20A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7CD59BDF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B00F0" w:rsidRPr="00CB00F0" w14:paraId="1DC22A1C" w14:textId="77777777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B081816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14:paraId="4090C6AE" w14:textId="7586C31D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202</w:t>
            </w:r>
            <w:r w:rsidR="00AB66A0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D22CE04" w14:textId="4443C34E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202</w:t>
            </w:r>
            <w:r w:rsidR="00AB66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B4629E7" w14:textId="34F26987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202</w:t>
            </w:r>
            <w:r w:rsidR="00AB66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AB66A0" w:rsidRPr="00CB00F0" w14:paraId="463D9FDA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2793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HDP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B8FD1A" w14:textId="549BB99B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9D2D252" w14:textId="690C5334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7DB61A4" w14:textId="18E0EB21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1,8</w:t>
            </w:r>
          </w:p>
        </w:tc>
      </w:tr>
      <w:tr w:rsidR="00AB66A0" w:rsidRPr="00CB00F0" w14:paraId="4D008B40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4EC7" w14:textId="77777777" w:rsidR="00AB66A0" w:rsidRPr="00CB00F0" w:rsidRDefault="00AB66A0" w:rsidP="00AB66A0">
            <w:pPr>
              <w:spacing w:after="0" w:line="240" w:lineRule="auto"/>
              <w:ind w:firstLineChars="200" w:firstLine="361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Spotřeba domácností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1D074E" w14:textId="752C489F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-0,9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ADFB1A" w14:textId="07A9006C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C86DE07" w14:textId="7981E1E2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3,3</w:t>
            </w:r>
          </w:p>
        </w:tc>
      </w:tr>
      <w:tr w:rsidR="00AB66A0" w:rsidRPr="00CB00F0" w14:paraId="12B52298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E33E" w14:textId="77777777" w:rsidR="00AB66A0" w:rsidRPr="00CB00F0" w:rsidRDefault="00AB66A0" w:rsidP="00AB66A0">
            <w:pPr>
              <w:spacing w:after="0" w:line="240" w:lineRule="auto"/>
              <w:ind w:firstLineChars="200" w:firstLine="361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Fixní investice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1C7A2B" w14:textId="3EEAE962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D87A9C0" w14:textId="06C39337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887F454" w14:textId="17F35F0D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4,9</w:t>
            </w:r>
          </w:p>
        </w:tc>
      </w:tr>
      <w:tr w:rsidR="00AB66A0" w:rsidRPr="00CB00F0" w14:paraId="5D5320D8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E03C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Zahraniční obchod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(mld. CZK)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332E6C" w14:textId="5508248D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-200,1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788A9CC" w14:textId="6E9246CB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-26,3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0E6B24D" w14:textId="7CB2C81D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74,1</w:t>
            </w:r>
          </w:p>
        </w:tc>
      </w:tr>
      <w:tr w:rsidR="00AB66A0" w:rsidRPr="00CB00F0" w14:paraId="50DBB82C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D576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Průmyslová výroba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4CE549" w14:textId="346F07CB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204FE0E" w14:textId="71B3EFCD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493456F" w14:textId="1F0381A3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4,2</w:t>
            </w:r>
          </w:p>
        </w:tc>
      </w:tr>
      <w:tr w:rsidR="00AB66A0" w:rsidRPr="00CB00F0" w14:paraId="6CBF588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4BC6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Maloobchodní tržby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A8B1F6" w14:textId="228AD708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-3,3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5C00BB4" w14:textId="64910EEC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38DA9FF" w14:textId="2BF6633B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3,7</w:t>
            </w:r>
          </w:p>
        </w:tc>
      </w:tr>
      <w:tr w:rsidR="00AB66A0" w:rsidRPr="00CB00F0" w14:paraId="4D9C6D10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0CEA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Mzdy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(nominální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BD31DE" w14:textId="4368110B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C2EE8B8" w14:textId="26498CB3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EA290DE" w14:textId="6EA786B1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6,6</w:t>
            </w:r>
          </w:p>
        </w:tc>
      </w:tr>
      <w:tr w:rsidR="00AB66A0" w:rsidRPr="00CB00F0" w14:paraId="0EB3F361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E58B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Podíl nezaměstnaných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(MPSV, průměr,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42BA18" w14:textId="0A62A33F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EEA1830" w14:textId="2BE72213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35AED1D0" w14:textId="5D12EA6C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3,7</w:t>
            </w:r>
          </w:p>
        </w:tc>
      </w:tr>
      <w:tr w:rsidR="00AB66A0" w:rsidRPr="00CB00F0" w14:paraId="362A6825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8969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Inflace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(průměr,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04B53" w14:textId="051D6FF9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D6823F" w14:textId="39B821ED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64F9597" w14:textId="67FA6221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2,0</w:t>
            </w:r>
          </w:p>
        </w:tc>
      </w:tr>
      <w:tr w:rsidR="00AB66A0" w:rsidRPr="00CB00F0" w14:paraId="3F4D013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2651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3M PRIBOR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CA0DC" w14:textId="0F43E41B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D43CA92" w14:textId="766BAAAD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CBF3B27" w14:textId="1B7FAD08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5,4</w:t>
            </w:r>
          </w:p>
        </w:tc>
      </w:tr>
      <w:tr w:rsidR="00AB66A0" w:rsidRPr="00CB00F0" w14:paraId="23FE3707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523C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2W </w:t>
            </w:r>
            <w:proofErr w:type="spellStart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Repo</w:t>
            </w:r>
            <w:proofErr w:type="spellEnd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A08FCF" w14:textId="3A92ABC9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AB99AAB" w14:textId="0C1DBAE4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D6F5AE1" w14:textId="6B976C08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5,1</w:t>
            </w:r>
          </w:p>
        </w:tc>
      </w:tr>
      <w:tr w:rsidR="00AB66A0" w:rsidRPr="00CB00F0" w14:paraId="55F2F8F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A91DC19" w14:textId="77777777" w:rsidR="00AB66A0" w:rsidRPr="00CB00F0" w:rsidRDefault="00AB66A0" w:rsidP="00AB66A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CZK/EUR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78B59763" w14:textId="27D51EE7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sz w:val="18"/>
                <w:szCs w:val="18"/>
              </w:rPr>
              <w:t>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97DB37D" w14:textId="2B185962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165BAC70" w14:textId="6029BC6C" w:rsidR="00AB66A0" w:rsidRPr="00AB66A0" w:rsidRDefault="00AB66A0" w:rsidP="00AB66A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B66A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23,8</w:t>
            </w:r>
          </w:p>
        </w:tc>
      </w:tr>
    </w:tbl>
    <w:p w14:paraId="5C841DDB" w14:textId="77777777" w:rsidR="00187F19" w:rsidRPr="00520DCD" w:rsidRDefault="00187F19" w:rsidP="00187F19">
      <w:pPr>
        <w:pStyle w:val="SourceLarge"/>
        <w:spacing w:after="0"/>
        <w:rPr>
          <w:lang w:val="cs-CZ"/>
        </w:rPr>
      </w:pPr>
      <w:r w:rsidRPr="002E5601">
        <w:rPr>
          <w:lang w:val="cs-CZ"/>
        </w:rPr>
        <w:t xml:space="preserve">Zdroj: ČSÚ, ČNB, MPSV, </w:t>
      </w:r>
      <w:proofErr w:type="spellStart"/>
      <w:r w:rsidRPr="002E5601">
        <w:rPr>
          <w:lang w:val="cs-CZ"/>
        </w:rPr>
        <w:t>Macrobond</w:t>
      </w:r>
      <w:proofErr w:type="spellEnd"/>
      <w:r w:rsidRPr="002E5601">
        <w:rPr>
          <w:lang w:val="cs-CZ"/>
        </w:rPr>
        <w:t>, Ekonomický a strategický výzkum, Komerční banka</w:t>
      </w:r>
    </w:p>
    <w:p w14:paraId="537A49AD" w14:textId="77777777" w:rsidR="00187F19" w:rsidRPr="00520DCD" w:rsidRDefault="00187F19" w:rsidP="00187F19">
      <w:pPr>
        <w:spacing w:line="240" w:lineRule="auto"/>
        <w:rPr>
          <w:b/>
          <w:color w:val="000000"/>
          <w:sz w:val="10"/>
          <w:szCs w:val="10"/>
        </w:rPr>
      </w:pPr>
    </w:p>
    <w:p w14:paraId="12E61C89" w14:textId="3C36A5CE" w:rsidR="00B44E0F" w:rsidRDefault="00187F19" w:rsidP="00B44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b/>
          <w:bCs/>
          <w:sz w:val="22"/>
          <w:szCs w:val="22"/>
        </w:rPr>
        <w:t>Jan Vejmělek</w:t>
      </w:r>
      <w:r w:rsidR="00B44E0F">
        <w:rPr>
          <w:rStyle w:val="eop"/>
          <w:rFonts w:ascii="Calibri" w:hAnsi="Calibri" w:cs="Calibri"/>
          <w:sz w:val="22"/>
          <w:szCs w:val="22"/>
        </w:rPr>
        <w:t> </w:t>
      </w:r>
    </w:p>
    <w:p w14:paraId="20E15FFB" w14:textId="4DC0A032" w:rsidR="00B44E0F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sz w:val="22"/>
          <w:szCs w:val="22"/>
        </w:rPr>
        <w:lastRenderedPageBreak/>
        <w:t>Hlavní ekonom Komerční banky</w:t>
      </w:r>
    </w:p>
    <w:p w14:paraId="012BDA1B" w14:textId="79595A11" w:rsidR="00B44E0F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sz w:val="22"/>
          <w:szCs w:val="22"/>
        </w:rPr>
        <w:t>tel.: +420 222 008 568</w:t>
      </w:r>
    </w:p>
    <w:p w14:paraId="0A5B00F3" w14:textId="3A7C49F9" w:rsidR="00B44E0F" w:rsidRPr="00F27120" w:rsidRDefault="00187F19" w:rsidP="00F27120"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jan</w:t>
      </w:r>
      <w:r w:rsidR="00F27120" w:rsidRPr="00F27120">
        <w:rPr>
          <w:rFonts w:cs="Calibri"/>
          <w:shd w:val="clear" w:color="auto" w:fill="FFFFFF"/>
        </w:rPr>
        <w:t>_</w:t>
      </w:r>
      <w:r>
        <w:rPr>
          <w:rFonts w:cs="Calibri"/>
          <w:shd w:val="clear" w:color="auto" w:fill="FFFFFF"/>
        </w:rPr>
        <w:t>vejmelek</w:t>
      </w:r>
      <w:r w:rsidR="00F27120" w:rsidRPr="00F27120">
        <w:rPr>
          <w:rFonts w:cs="Calibri"/>
          <w:shd w:val="clear" w:color="auto" w:fill="FFFFFF"/>
        </w:rPr>
        <w:t>@kb.cz</w:t>
      </w:r>
    </w:p>
    <w:p w14:paraId="60401429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155262D8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14A6B085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E86F" w14:textId="77777777" w:rsidR="00685ECD" w:rsidRDefault="00685ECD" w:rsidP="00A84CE4">
      <w:pPr>
        <w:spacing w:after="0" w:line="240" w:lineRule="auto"/>
      </w:pPr>
      <w:r>
        <w:separator/>
      </w:r>
    </w:p>
  </w:endnote>
  <w:endnote w:type="continuationSeparator" w:id="0">
    <w:p w14:paraId="1AF7F8C4" w14:textId="77777777" w:rsidR="00685ECD" w:rsidRDefault="00685ECD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 CE Medium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9CD1" w14:textId="4E23DE74" w:rsidR="00A84CE4" w:rsidRPr="00F27120" w:rsidRDefault="00ED1357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9070DA" wp14:editId="268EC4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875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5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D2760" w14:textId="77777777" w:rsidR="00AE3F5C" w:rsidRPr="00AE3F5C" w:rsidRDefault="00AE3F5C" w:rsidP="00AE3F5C">
                          <w:pPr>
                            <w:jc w:val="right"/>
                            <w:rPr>
                              <w:rFonts w:cs="Calibri"/>
                              <w:color w:val="E9041E"/>
                            </w:rPr>
                          </w:pP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070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    <v:textbox inset="0,0,0,0">
                <w:txbxContent>
                  <w:p w14:paraId="587D2760" w14:textId="77777777" w:rsidR="00AE3F5C" w:rsidRPr="00AE3F5C" w:rsidRDefault="00AE3F5C" w:rsidP="00AE3F5C">
                    <w:pPr>
                      <w:jc w:val="right"/>
                      <w:rPr>
                        <w:rFonts w:cs="Calibri"/>
                        <w:color w:val="E9041E"/>
                      </w:rPr>
                    </w:pP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046000F" wp14:editId="504776CA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9985" cy="255905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665DA" id="Skupina 16" o:spid="_x0000_s1026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    <v:fill o:detectmouseclick="t"/>
                <v:imagedata r:id="rId9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    <v:fill o:detectmouseclick="t"/>
                <v:imagedata r:id="rId10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    <v:fill o:detectmouseclick="t"/>
                <v:imagedata r:id="rId11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    <v:fill o:detectmouseclick="t"/>
                <v:imagedata r:id="rId1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99AA" w14:textId="77777777" w:rsidR="00685ECD" w:rsidRDefault="00685ECD" w:rsidP="00A84CE4">
      <w:pPr>
        <w:spacing w:after="0" w:line="240" w:lineRule="auto"/>
      </w:pPr>
      <w:r>
        <w:separator/>
      </w:r>
    </w:p>
  </w:footnote>
  <w:footnote w:type="continuationSeparator" w:id="0">
    <w:p w14:paraId="237C7401" w14:textId="77777777" w:rsidR="00685ECD" w:rsidRDefault="00685ECD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5CF2" w14:textId="3CC953F6" w:rsidR="00E83835" w:rsidRDefault="00ED1357">
    <w:pPr>
      <w:pStyle w:val="Zhlav"/>
    </w:pPr>
    <w:r>
      <w:rPr>
        <w:noProof/>
      </w:rPr>
      <w:drawing>
        <wp:anchor distT="0" distB="1143" distL="114300" distR="114300" simplePos="0" relativeHeight="251656704" behindDoc="1" locked="0" layoutInCell="1" allowOverlap="1" wp14:anchorId="4EF74EA2" wp14:editId="451E7708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5F1">
      <w:rPr>
        <w:noProof/>
      </w:rPr>
      <w:drawing>
        <wp:inline distT="0" distB="0" distL="0" distR="0" wp14:anchorId="43477053" wp14:editId="2EFA9459">
          <wp:extent cx="1053465" cy="380237"/>
          <wp:effectExtent l="0" t="0" r="0" b="0"/>
          <wp:docPr id="1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cký objekt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3465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0"/>
    <w:rsid w:val="000C4306"/>
    <w:rsid w:val="00187F19"/>
    <w:rsid w:val="001C1BCD"/>
    <w:rsid w:val="001C5929"/>
    <w:rsid w:val="00255DE9"/>
    <w:rsid w:val="002613FA"/>
    <w:rsid w:val="00283C19"/>
    <w:rsid w:val="002B7627"/>
    <w:rsid w:val="00354AAD"/>
    <w:rsid w:val="003848CF"/>
    <w:rsid w:val="003B5AC3"/>
    <w:rsid w:val="00422452"/>
    <w:rsid w:val="00432D51"/>
    <w:rsid w:val="00464800"/>
    <w:rsid w:val="004E520C"/>
    <w:rsid w:val="00506E77"/>
    <w:rsid w:val="005934B6"/>
    <w:rsid w:val="005A246C"/>
    <w:rsid w:val="005B430B"/>
    <w:rsid w:val="005E6074"/>
    <w:rsid w:val="005F4AE0"/>
    <w:rsid w:val="00611139"/>
    <w:rsid w:val="00657075"/>
    <w:rsid w:val="00673031"/>
    <w:rsid w:val="00685ECD"/>
    <w:rsid w:val="006C43F6"/>
    <w:rsid w:val="007060FC"/>
    <w:rsid w:val="00766C5E"/>
    <w:rsid w:val="00780D86"/>
    <w:rsid w:val="007B3062"/>
    <w:rsid w:val="007E12B5"/>
    <w:rsid w:val="007F456A"/>
    <w:rsid w:val="008259F7"/>
    <w:rsid w:val="00841A2C"/>
    <w:rsid w:val="0087651A"/>
    <w:rsid w:val="00895A4F"/>
    <w:rsid w:val="008A0550"/>
    <w:rsid w:val="008C7764"/>
    <w:rsid w:val="00994BC2"/>
    <w:rsid w:val="009D4E3C"/>
    <w:rsid w:val="00A35BD9"/>
    <w:rsid w:val="00A84CE4"/>
    <w:rsid w:val="00AB5B0A"/>
    <w:rsid w:val="00AB66A0"/>
    <w:rsid w:val="00AD2551"/>
    <w:rsid w:val="00AE3F5C"/>
    <w:rsid w:val="00AF6E9E"/>
    <w:rsid w:val="00B07516"/>
    <w:rsid w:val="00B44E0F"/>
    <w:rsid w:val="00BD3D9D"/>
    <w:rsid w:val="00BD5569"/>
    <w:rsid w:val="00BE33C7"/>
    <w:rsid w:val="00BE4283"/>
    <w:rsid w:val="00BF0668"/>
    <w:rsid w:val="00C316F8"/>
    <w:rsid w:val="00C611AF"/>
    <w:rsid w:val="00CB00F0"/>
    <w:rsid w:val="00D3345D"/>
    <w:rsid w:val="00D763CE"/>
    <w:rsid w:val="00DC56D5"/>
    <w:rsid w:val="00DF3E50"/>
    <w:rsid w:val="00E05345"/>
    <w:rsid w:val="00E273DF"/>
    <w:rsid w:val="00E33A39"/>
    <w:rsid w:val="00E7672E"/>
    <w:rsid w:val="00E83835"/>
    <w:rsid w:val="00ED1357"/>
    <w:rsid w:val="00F27120"/>
    <w:rsid w:val="00F37790"/>
    <w:rsid w:val="00F51D07"/>
    <w:rsid w:val="00F66FB4"/>
    <w:rsid w:val="00F6736D"/>
    <w:rsid w:val="00FA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CD295"/>
  <w15:chartTrackingRefBased/>
  <w15:docId w15:val="{CDFDF5DF-FDB1-48DB-A506-CCCACC9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odkaz">
    <w:name w:val="Hyperlink"/>
    <w:uiPriority w:val="99"/>
    <w:unhideWhenUsed/>
    <w:rsid w:val="00A84CE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ln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44E0F"/>
  </w:style>
  <w:style w:type="character" w:customStyle="1" w:styleId="eop">
    <w:name w:val="eop"/>
    <w:basedOn w:val="Standardnpsmoodstavce"/>
    <w:rsid w:val="00B44E0F"/>
  </w:style>
  <w:style w:type="paragraph" w:customStyle="1" w:styleId="SourceLarge">
    <w:name w:val="SourceLarge"/>
    <w:next w:val="Normln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Standardnpsmoodstavce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2B7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6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7627"/>
    <w:rPr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6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627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</Template>
  <TotalTime>156</TotalTime>
  <Pages>3</Pages>
  <Words>933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6431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Nevoralova Sarka</dc:creator>
  <cp:keywords/>
  <dc:description/>
  <cp:lastModifiedBy>Teubner Michal</cp:lastModifiedBy>
  <cp:revision>30</cp:revision>
  <dcterms:created xsi:type="dcterms:W3CDTF">2023-01-20T12:35:00Z</dcterms:created>
  <dcterms:modified xsi:type="dcterms:W3CDTF">2023-04-26T16:01:00Z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2023-04-26T16:01:29Z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