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7AF6E30A" w:rsidR="00351FF5" w:rsidRDefault="00011196" w:rsidP="00014683">
      <w:pPr>
        <w:pStyle w:val="Nadpis1"/>
        <w:rPr>
          <w:b w:val="0"/>
        </w:rPr>
      </w:pPr>
      <w:r w:rsidRPr="00011196">
        <w:rPr>
          <w:b w:val="0"/>
        </w:rPr>
        <w:t xml:space="preserve">Startuje 11. ročník </w:t>
      </w:r>
      <w:r>
        <w:rPr>
          <w:b w:val="0"/>
        </w:rPr>
        <w:t xml:space="preserve">grantového programu </w:t>
      </w:r>
      <w:r w:rsidRPr="00D428B2">
        <w:rPr>
          <w:b w:val="0"/>
          <w:i/>
          <w:iCs/>
        </w:rPr>
        <w:t>Nastartujte se</w:t>
      </w:r>
      <w:r>
        <w:rPr>
          <w:b w:val="0"/>
        </w:rPr>
        <w:t xml:space="preserve"> s cenami za </w:t>
      </w:r>
      <w:r w:rsidRPr="00011196">
        <w:rPr>
          <w:b w:val="0"/>
        </w:rPr>
        <w:t>více než 1 000 000 Kč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56B2D3DC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D428B2">
        <w:rPr>
          <w:rFonts w:ascii="Inter Semi Bold" w:hAnsi="Inter Semi Bold"/>
          <w:b/>
          <w:bCs/>
          <w:szCs w:val="22"/>
        </w:rPr>
        <w:t>2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D428B2">
        <w:rPr>
          <w:rFonts w:ascii="Inter Semi Bold" w:hAnsi="Inter Semi Bold"/>
          <w:b/>
          <w:bCs/>
          <w:szCs w:val="22"/>
        </w:rPr>
        <w:t>května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2DA8B57C" w14:textId="5D9DBB25" w:rsidR="00407642" w:rsidRPr="00944DCC" w:rsidRDefault="00BA6F75" w:rsidP="00407642">
      <w:pPr>
        <w:spacing w:before="240"/>
        <w:rPr>
          <w:rFonts w:cs="Calibri"/>
          <w:b/>
        </w:rPr>
      </w:pPr>
      <w:r>
        <w:rPr>
          <w:rFonts w:cs="Calibri"/>
          <w:b/>
        </w:rPr>
        <w:t xml:space="preserve">Až do konce září </w:t>
      </w:r>
      <w:r w:rsidR="001D7BF5">
        <w:rPr>
          <w:rFonts w:cs="Calibri"/>
          <w:b/>
        </w:rPr>
        <w:t xml:space="preserve">mohou začínající podnikatelé přihlásit své projekty </w:t>
      </w:r>
      <w:r w:rsidR="00407642" w:rsidRPr="00C25E2A">
        <w:rPr>
          <w:rFonts w:cs="Calibri"/>
          <w:b/>
        </w:rPr>
        <w:t xml:space="preserve">do grantového programu </w:t>
      </w:r>
      <w:r w:rsidR="00407642" w:rsidRPr="00407642">
        <w:rPr>
          <w:rFonts w:cs="Calibri"/>
          <w:b/>
          <w:i/>
          <w:iCs/>
        </w:rPr>
        <w:t>Nastarujte</w:t>
      </w:r>
      <w:r w:rsidR="00407642">
        <w:rPr>
          <w:rFonts w:cs="Calibri"/>
          <w:b/>
          <w:i/>
          <w:iCs/>
        </w:rPr>
        <w:t xml:space="preserve"> </w:t>
      </w:r>
      <w:r w:rsidR="00407642" w:rsidRPr="00407642">
        <w:rPr>
          <w:rFonts w:cs="Calibri"/>
          <w:b/>
          <w:i/>
          <w:iCs/>
        </w:rPr>
        <w:t>se</w:t>
      </w:r>
      <w:r w:rsidR="00944DCC">
        <w:rPr>
          <w:rFonts w:cs="Calibri"/>
          <w:b/>
          <w:i/>
          <w:iCs/>
        </w:rPr>
        <w:t xml:space="preserve">, </w:t>
      </w:r>
      <w:r w:rsidR="00944DCC" w:rsidRPr="00944DCC">
        <w:rPr>
          <w:rFonts w:cs="Calibri"/>
          <w:b/>
        </w:rPr>
        <w:t xml:space="preserve">který </w:t>
      </w:r>
      <w:r w:rsidR="00944DCC">
        <w:rPr>
          <w:rFonts w:cs="Calibri"/>
          <w:b/>
        </w:rPr>
        <w:t>vyhlašuje</w:t>
      </w:r>
      <w:r w:rsidR="00944DCC" w:rsidRPr="00944DCC">
        <w:rPr>
          <w:rFonts w:cs="Calibri"/>
          <w:b/>
        </w:rPr>
        <w:t xml:space="preserve"> Komerční banka ve spolupráci s Asociací malých a středních podniků a živnostníků ČR</w:t>
      </w:r>
      <w:r w:rsidR="00407642" w:rsidRPr="00944DCC">
        <w:rPr>
          <w:rFonts w:cs="Calibri"/>
          <w:b/>
          <w:bCs/>
        </w:rPr>
        <w:t>.</w:t>
      </w:r>
      <w:r w:rsidR="001D7BF5" w:rsidRPr="00944DCC">
        <w:rPr>
          <w:rFonts w:cs="Calibri"/>
          <w:b/>
          <w:bCs/>
        </w:rPr>
        <w:t xml:space="preserve"> </w:t>
      </w:r>
      <w:r w:rsidR="00407642" w:rsidRPr="00944DCC">
        <w:rPr>
          <w:rFonts w:cs="Calibri"/>
          <w:b/>
        </w:rPr>
        <w:t xml:space="preserve"> </w:t>
      </w:r>
    </w:p>
    <w:p w14:paraId="69DB935B" w14:textId="3C471716" w:rsidR="001C5B9A" w:rsidRDefault="001C5B9A" w:rsidP="001C5B9A">
      <w:pPr>
        <w:jc w:val="both"/>
        <w:rPr>
          <w:rStyle w:val="Siln"/>
        </w:rPr>
      </w:pPr>
    </w:p>
    <w:p w14:paraId="02E1A5BC" w14:textId="273D1C3F" w:rsidR="00F16C2C" w:rsidRPr="006707B5" w:rsidRDefault="00944DCC" w:rsidP="00C35A8B">
      <w:pPr>
        <w:rPr>
          <w:color w:val="000000" w:themeColor="text1"/>
        </w:rPr>
      </w:pPr>
      <w:r>
        <w:rPr>
          <w:rFonts w:cs="Calibri"/>
        </w:rPr>
        <w:t>V</w:t>
      </w:r>
      <w:r w:rsidR="00407642" w:rsidRPr="00F63A90">
        <w:rPr>
          <w:rFonts w:cs="Calibri"/>
        </w:rPr>
        <w:t> letošním roce je</w:t>
      </w:r>
      <w:r>
        <w:rPr>
          <w:rFonts w:cs="Calibri"/>
        </w:rPr>
        <w:t xml:space="preserve"> celkový počet ocenění </w:t>
      </w:r>
      <w:r w:rsidR="00407642">
        <w:rPr>
          <w:rFonts w:cs="Calibri"/>
        </w:rPr>
        <w:t>rozšířen</w:t>
      </w:r>
      <w:r>
        <w:rPr>
          <w:rFonts w:cs="Calibri"/>
        </w:rPr>
        <w:t>ý</w:t>
      </w:r>
      <w:r w:rsidR="00407642">
        <w:rPr>
          <w:rFonts w:cs="Calibri"/>
        </w:rPr>
        <w:t xml:space="preserve"> na </w:t>
      </w:r>
      <w:r w:rsidR="00407642" w:rsidRPr="00F63A90">
        <w:rPr>
          <w:rFonts w:cs="Calibri"/>
        </w:rPr>
        <w:t xml:space="preserve">5 nejlepších projektů. </w:t>
      </w:r>
      <w:r>
        <w:rPr>
          <w:rFonts w:cs="Calibri"/>
        </w:rPr>
        <w:t xml:space="preserve">Vítěz získá </w:t>
      </w:r>
      <w:r w:rsidRPr="00F63A90">
        <w:rPr>
          <w:rFonts w:cs="Calibri"/>
        </w:rPr>
        <w:t xml:space="preserve">na rozjezd podnikání </w:t>
      </w:r>
      <w:r>
        <w:rPr>
          <w:rFonts w:cs="Calibri"/>
        </w:rPr>
        <w:t>kromě h</w:t>
      </w:r>
      <w:r w:rsidR="00407642" w:rsidRPr="00F63A90">
        <w:rPr>
          <w:rFonts w:cs="Calibri"/>
        </w:rPr>
        <w:t xml:space="preserve">lavní </w:t>
      </w:r>
      <w:r w:rsidR="00A42075">
        <w:rPr>
          <w:rFonts w:cs="Calibri"/>
        </w:rPr>
        <w:t>odměn</w:t>
      </w:r>
      <w:r>
        <w:rPr>
          <w:rFonts w:cs="Calibri"/>
        </w:rPr>
        <w:t>y</w:t>
      </w:r>
      <w:r w:rsidR="00407642" w:rsidRPr="00F63A90">
        <w:rPr>
          <w:rFonts w:cs="Calibri"/>
        </w:rPr>
        <w:t xml:space="preserve"> </w:t>
      </w:r>
      <w:r>
        <w:rPr>
          <w:rFonts w:cs="Calibri"/>
        </w:rPr>
        <w:t>ve výši</w:t>
      </w:r>
      <w:r w:rsidR="00407642" w:rsidRPr="00F63A90">
        <w:rPr>
          <w:rFonts w:cs="Calibri"/>
        </w:rPr>
        <w:t xml:space="preserve"> 300 000 </w:t>
      </w:r>
      <w:r>
        <w:rPr>
          <w:rFonts w:cs="Calibri"/>
        </w:rPr>
        <w:t>korun</w:t>
      </w:r>
      <w:r w:rsidR="00407642" w:rsidRPr="00F63A90">
        <w:rPr>
          <w:rFonts w:cs="Calibri"/>
        </w:rPr>
        <w:t xml:space="preserve"> </w:t>
      </w:r>
      <w:r>
        <w:rPr>
          <w:rFonts w:cs="Calibri"/>
        </w:rPr>
        <w:t xml:space="preserve">dalších </w:t>
      </w:r>
      <w:r w:rsidR="00407642" w:rsidRPr="00F63A90">
        <w:rPr>
          <w:rFonts w:cs="Calibri"/>
        </w:rPr>
        <w:t>200 </w:t>
      </w:r>
      <w:r w:rsidR="0024724A">
        <w:rPr>
          <w:rFonts w:cs="Calibri"/>
        </w:rPr>
        <w:t>tisíc</w:t>
      </w:r>
      <w:r w:rsidR="00407642" w:rsidRPr="00F63A90">
        <w:rPr>
          <w:rFonts w:cs="Calibri"/>
        </w:rPr>
        <w:t xml:space="preserve"> ve formě služeb od partnerů projektu. </w:t>
      </w:r>
      <w:r w:rsidR="00A42075">
        <w:rPr>
          <w:rFonts w:cs="Calibri"/>
        </w:rPr>
        <w:t>Jejich k</w:t>
      </w:r>
      <w:r w:rsidR="00407642">
        <w:rPr>
          <w:rFonts w:cs="Calibri"/>
        </w:rPr>
        <w:t xml:space="preserve">ompletní přehled je uveden na </w:t>
      </w:r>
      <w:hyperlink r:id="rId9" w:history="1">
        <w:r w:rsidR="00011196">
          <w:rPr>
            <w:rStyle w:val="Hypertextovodkaz"/>
            <w:rFonts w:cs="Calibri"/>
          </w:rPr>
          <w:t>Ceny 2023</w:t>
        </w:r>
      </w:hyperlink>
      <w:r w:rsidR="00011196">
        <w:rPr>
          <w:rFonts w:cs="Calibri"/>
        </w:rPr>
        <w:t>.</w:t>
      </w:r>
      <w:r w:rsidR="00C35A8B">
        <w:rPr>
          <w:rFonts w:cs="Calibri"/>
        </w:rPr>
        <w:br/>
      </w:r>
      <w:r w:rsidR="00C35A8B">
        <w:rPr>
          <w:rFonts w:cs="Calibri"/>
        </w:rPr>
        <w:br/>
      </w:r>
      <w:r w:rsidR="00F16C2C" w:rsidRPr="00B11CC9">
        <w:rPr>
          <w:i/>
          <w:color w:val="000000" w:themeColor="text1"/>
        </w:rPr>
        <w:t>„Projekty, které začínající podnikatelé do programu</w:t>
      </w:r>
      <w:r w:rsidR="00F16C2C">
        <w:rPr>
          <w:i/>
          <w:color w:val="000000" w:themeColor="text1"/>
        </w:rPr>
        <w:t xml:space="preserve"> přihlašují,</w:t>
      </w:r>
      <w:r w:rsidR="00F16C2C" w:rsidRPr="00B11CC9">
        <w:rPr>
          <w:i/>
          <w:color w:val="000000" w:themeColor="text1"/>
        </w:rPr>
        <w:t xml:space="preserve"> </w:t>
      </w:r>
      <w:r w:rsidR="00F16C2C">
        <w:rPr>
          <w:i/>
          <w:color w:val="000000" w:themeColor="text1"/>
        </w:rPr>
        <w:t>mají tradičně vysokou míru kreativity</w:t>
      </w:r>
      <w:r w:rsidR="00F16C2C" w:rsidRPr="00B11CC9">
        <w:rPr>
          <w:i/>
          <w:color w:val="000000" w:themeColor="text1"/>
        </w:rPr>
        <w:t xml:space="preserve">. </w:t>
      </w:r>
      <w:r w:rsidR="00F16C2C">
        <w:rPr>
          <w:i/>
          <w:color w:val="000000" w:themeColor="text1"/>
        </w:rPr>
        <w:t>Velmi nás proto</w:t>
      </w:r>
      <w:r w:rsidR="00F16C2C" w:rsidRPr="00B11CC9">
        <w:rPr>
          <w:i/>
          <w:color w:val="000000" w:themeColor="text1"/>
        </w:rPr>
        <w:t xml:space="preserve"> </w:t>
      </w:r>
      <w:r w:rsidR="00F16C2C">
        <w:rPr>
          <w:i/>
          <w:color w:val="000000" w:themeColor="text1"/>
        </w:rPr>
        <w:t>těší</w:t>
      </w:r>
      <w:r w:rsidR="00F16C2C" w:rsidRPr="00B11CC9">
        <w:rPr>
          <w:i/>
          <w:color w:val="000000" w:themeColor="text1"/>
        </w:rPr>
        <w:t xml:space="preserve">, že </w:t>
      </w:r>
      <w:r w:rsidR="00F16C2C">
        <w:rPr>
          <w:i/>
          <w:color w:val="000000" w:themeColor="text1"/>
        </w:rPr>
        <w:t xml:space="preserve">jim </w:t>
      </w:r>
      <w:r w:rsidR="00F16C2C" w:rsidRPr="00B11CC9">
        <w:rPr>
          <w:i/>
          <w:color w:val="000000" w:themeColor="text1"/>
        </w:rPr>
        <w:t xml:space="preserve">finanční i nefinanční podpora z naší strany umožňuje </w:t>
      </w:r>
      <w:r w:rsidR="00F16C2C">
        <w:rPr>
          <w:i/>
          <w:color w:val="000000" w:themeColor="text1"/>
        </w:rPr>
        <w:t>urych</w:t>
      </w:r>
      <w:r w:rsidR="00F16C2C" w:rsidRPr="00B11CC9">
        <w:rPr>
          <w:i/>
          <w:color w:val="000000" w:themeColor="text1"/>
        </w:rPr>
        <w:t>lit vývoj, posílit marketing nebo expandovat na</w:t>
      </w:r>
      <w:r w:rsidR="00F16C2C">
        <w:rPr>
          <w:i/>
          <w:color w:val="000000" w:themeColor="text1"/>
        </w:rPr>
        <w:t xml:space="preserve"> domácí i </w:t>
      </w:r>
      <w:r w:rsidR="00F16C2C" w:rsidRPr="00B11CC9">
        <w:rPr>
          <w:i/>
          <w:color w:val="000000" w:themeColor="text1"/>
        </w:rPr>
        <w:t>zahraniční trh,“</w:t>
      </w:r>
      <w:r w:rsidR="00F16C2C" w:rsidRPr="006707B5">
        <w:rPr>
          <w:color w:val="000000" w:themeColor="text1"/>
        </w:rPr>
        <w:t xml:space="preserve"> </w:t>
      </w:r>
      <w:r w:rsidR="00F16C2C">
        <w:rPr>
          <w:color w:val="000000" w:themeColor="text1"/>
        </w:rPr>
        <w:t>říká</w:t>
      </w:r>
      <w:r w:rsidR="00F16C2C" w:rsidRPr="006707B5">
        <w:rPr>
          <w:color w:val="000000" w:themeColor="text1"/>
        </w:rPr>
        <w:t xml:space="preserve"> L</w:t>
      </w:r>
      <w:r w:rsidR="00F16C2C">
        <w:rPr>
          <w:color w:val="000000" w:themeColor="text1"/>
        </w:rPr>
        <w:t>ukáš Fridrich</w:t>
      </w:r>
      <w:r w:rsidR="00F16C2C" w:rsidRPr="006707B5">
        <w:rPr>
          <w:color w:val="000000" w:themeColor="text1"/>
        </w:rPr>
        <w:t xml:space="preserve">, </w:t>
      </w:r>
      <w:r w:rsidR="00F16C2C">
        <w:rPr>
          <w:color w:val="000000" w:themeColor="text1"/>
        </w:rPr>
        <w:t xml:space="preserve">manažer </w:t>
      </w:r>
      <w:r w:rsidR="00C35A8B">
        <w:rPr>
          <w:color w:val="000000" w:themeColor="text1"/>
        </w:rPr>
        <w:t>s</w:t>
      </w:r>
      <w:r w:rsidR="00F16C2C">
        <w:rPr>
          <w:color w:val="000000" w:themeColor="text1"/>
        </w:rPr>
        <w:t xml:space="preserve">egmentu </w:t>
      </w:r>
      <w:r w:rsidR="00C35A8B">
        <w:rPr>
          <w:color w:val="000000" w:themeColor="text1"/>
        </w:rPr>
        <w:t>Občané</w:t>
      </w:r>
      <w:r w:rsidR="00355AFC">
        <w:rPr>
          <w:color w:val="000000" w:themeColor="text1"/>
        </w:rPr>
        <w:t xml:space="preserve"> a podnikatelé</w:t>
      </w:r>
      <w:r w:rsidR="00F16C2C" w:rsidRPr="006707B5">
        <w:rPr>
          <w:color w:val="000000" w:themeColor="text1"/>
        </w:rPr>
        <w:t xml:space="preserve">. </w:t>
      </w:r>
    </w:p>
    <w:p w14:paraId="3001C349" w14:textId="24095D99" w:rsidR="00944DCC" w:rsidRPr="00F63A90" w:rsidRDefault="00407642" w:rsidP="00944DCC">
      <w:pPr>
        <w:rPr>
          <w:rFonts w:eastAsia="Times New Roman" w:cs="Calibri"/>
          <w:color w:val="222221"/>
          <w:lang w:eastAsia="cs-CZ"/>
        </w:rPr>
      </w:pPr>
      <w:r>
        <w:rPr>
          <w:rFonts w:eastAsia="Times New Roman" w:cs="Calibri"/>
          <w:color w:val="222221"/>
          <w:lang w:eastAsia="cs-CZ"/>
        </w:rPr>
        <w:br/>
      </w:r>
      <w:r w:rsidRPr="00F63A90">
        <w:rPr>
          <w:rFonts w:eastAsia="Times New Roman" w:cs="Calibri"/>
          <w:color w:val="222221"/>
          <w:lang w:eastAsia="cs-CZ"/>
        </w:rPr>
        <w:t>Svou přihlášku m</w:t>
      </w:r>
      <w:r w:rsidR="0024724A">
        <w:rPr>
          <w:rFonts w:eastAsia="Times New Roman" w:cs="Calibri"/>
          <w:color w:val="222221"/>
          <w:lang w:eastAsia="cs-CZ"/>
        </w:rPr>
        <w:t>ohou</w:t>
      </w:r>
      <w:r w:rsidR="00F16C2C">
        <w:rPr>
          <w:rFonts w:eastAsia="Times New Roman" w:cs="Calibri"/>
          <w:color w:val="222221"/>
          <w:lang w:eastAsia="cs-CZ"/>
        </w:rPr>
        <w:t xml:space="preserve"> zájemci</w:t>
      </w:r>
      <w:r w:rsidRPr="00F63A90">
        <w:rPr>
          <w:rFonts w:eastAsia="Times New Roman" w:cs="Calibri"/>
          <w:color w:val="222221"/>
          <w:lang w:eastAsia="cs-CZ"/>
        </w:rPr>
        <w:t xml:space="preserve"> </w:t>
      </w:r>
      <w:hyperlink r:id="rId10" w:history="1">
        <w:r w:rsidRPr="00F63A90">
          <w:rPr>
            <w:rStyle w:val="Hypertextovodkaz"/>
            <w:rFonts w:eastAsia="Times New Roman" w:cs="Calibri"/>
            <w:lang w:eastAsia="cs-CZ"/>
          </w:rPr>
          <w:t>registrovat</w:t>
        </w:r>
      </w:hyperlink>
      <w:r w:rsidRPr="00F63A90">
        <w:rPr>
          <w:rFonts w:eastAsia="Times New Roman" w:cs="Calibri"/>
          <w:color w:val="222221"/>
          <w:lang w:eastAsia="cs-CZ"/>
        </w:rPr>
        <w:t xml:space="preserve"> od </w:t>
      </w:r>
      <w:r w:rsidRPr="00F63A90">
        <w:rPr>
          <w:rFonts w:eastAsia="Times New Roman" w:cs="Calibri"/>
          <w:b/>
          <w:bCs/>
          <w:color w:val="222221"/>
          <w:lang w:eastAsia="cs-CZ"/>
        </w:rPr>
        <w:t>1. května do 3. září</w:t>
      </w:r>
      <w:r w:rsidR="00F16C2C">
        <w:rPr>
          <w:rFonts w:eastAsia="Times New Roman" w:cs="Calibri"/>
          <w:b/>
          <w:bCs/>
          <w:color w:val="222221"/>
          <w:lang w:eastAsia="cs-CZ"/>
        </w:rPr>
        <w:t xml:space="preserve"> 2023</w:t>
      </w:r>
      <w:r w:rsidRPr="00F63A90">
        <w:rPr>
          <w:rFonts w:eastAsia="Times New Roman" w:cs="Calibri"/>
          <w:b/>
          <w:bCs/>
          <w:color w:val="222221"/>
          <w:lang w:eastAsia="cs-CZ"/>
        </w:rPr>
        <w:t>.</w:t>
      </w:r>
      <w:r w:rsidR="001D7BF5">
        <w:rPr>
          <w:rFonts w:eastAsia="Times New Roman" w:cs="Calibri"/>
          <w:b/>
          <w:bCs/>
          <w:color w:val="222221"/>
          <w:lang w:eastAsia="cs-CZ"/>
        </w:rPr>
        <w:t xml:space="preserve"> </w:t>
      </w:r>
      <w:r w:rsidR="0024724A" w:rsidRPr="0024724A">
        <w:rPr>
          <w:rFonts w:eastAsia="Times New Roman" w:cs="Calibri"/>
          <w:color w:val="222221"/>
          <w:lang w:eastAsia="cs-CZ"/>
        </w:rPr>
        <w:t>Stačí k tomu</w:t>
      </w:r>
      <w:r w:rsidR="001D7BF5">
        <w:rPr>
          <w:rFonts w:eastAsia="Times New Roman" w:cs="Calibri"/>
          <w:b/>
          <w:bCs/>
          <w:color w:val="222221"/>
          <w:lang w:eastAsia="cs-CZ"/>
        </w:rPr>
        <w:t xml:space="preserve"> </w:t>
      </w:r>
      <w:r w:rsidR="001D7BF5" w:rsidRPr="00F63A90">
        <w:rPr>
          <w:rFonts w:eastAsia="Times New Roman" w:cs="Calibri"/>
          <w:color w:val="222221"/>
          <w:lang w:eastAsia="cs-CZ"/>
        </w:rPr>
        <w:t>IČO staré maximálně 24 měsíců, podnikatelský účet od KB a</w:t>
      </w:r>
      <w:r w:rsidR="001D7BF5">
        <w:rPr>
          <w:rFonts w:eastAsia="Times New Roman" w:cs="Calibri"/>
          <w:color w:val="222221"/>
          <w:lang w:eastAsia="cs-CZ"/>
        </w:rPr>
        <w:t xml:space="preserve"> samozřejmě</w:t>
      </w:r>
      <w:r w:rsidR="001D7BF5" w:rsidRPr="00F63A90">
        <w:rPr>
          <w:rFonts w:eastAsia="Times New Roman" w:cs="Calibri"/>
          <w:color w:val="222221"/>
          <w:lang w:eastAsia="cs-CZ"/>
        </w:rPr>
        <w:t xml:space="preserve"> zajímavý podnikatelský projekt.</w:t>
      </w:r>
      <w:r w:rsidR="001D7BF5">
        <w:rPr>
          <w:rFonts w:eastAsia="Times New Roman" w:cs="Calibri"/>
          <w:color w:val="222221"/>
          <w:lang w:eastAsia="cs-CZ"/>
        </w:rPr>
        <w:t xml:space="preserve"> </w:t>
      </w:r>
      <w:r w:rsidRPr="00F63A90">
        <w:rPr>
          <w:rFonts w:eastAsia="Times New Roman" w:cs="Calibri"/>
          <w:color w:val="222221"/>
          <w:lang w:eastAsia="cs-CZ"/>
        </w:rPr>
        <w:t xml:space="preserve"> </w:t>
      </w:r>
      <w:r w:rsidR="00933504">
        <w:rPr>
          <w:rFonts w:eastAsia="Times New Roman" w:cs="Calibri"/>
          <w:color w:val="222221"/>
          <w:lang w:eastAsia="cs-CZ"/>
        </w:rPr>
        <w:t>Veškeré</w:t>
      </w:r>
      <w:r w:rsidR="001D7BF5">
        <w:rPr>
          <w:rFonts w:eastAsia="Times New Roman" w:cs="Calibri"/>
          <w:color w:val="222221"/>
          <w:lang w:eastAsia="cs-CZ"/>
        </w:rPr>
        <w:t xml:space="preserve"> další</w:t>
      </w:r>
      <w:r w:rsidR="00933504">
        <w:rPr>
          <w:rFonts w:eastAsia="Times New Roman" w:cs="Calibri"/>
          <w:color w:val="222221"/>
          <w:lang w:eastAsia="cs-CZ"/>
        </w:rPr>
        <w:t xml:space="preserve"> informace k programu jsou uvedeny na </w:t>
      </w:r>
      <w:hyperlink r:id="rId11" w:history="1">
        <w:r w:rsidR="00933504" w:rsidRPr="00933504">
          <w:rPr>
            <w:rFonts w:eastAsia="Times New Roman" w:cs="Calibri"/>
            <w:color w:val="FF0000"/>
            <w:u w:val="single"/>
            <w:lang w:eastAsia="cs-CZ"/>
          </w:rPr>
          <w:t>Nastartujtese 2023</w:t>
        </w:r>
      </w:hyperlink>
      <w:r w:rsidR="00933504">
        <w:rPr>
          <w:rFonts w:eastAsia="Times New Roman" w:cs="Calibri"/>
          <w:color w:val="222221"/>
          <w:lang w:eastAsia="cs-CZ"/>
        </w:rPr>
        <w:t>.</w:t>
      </w:r>
      <w:r w:rsidR="00944DCC">
        <w:rPr>
          <w:rFonts w:eastAsia="Times New Roman" w:cs="Calibri"/>
          <w:color w:val="222221"/>
          <w:lang w:eastAsia="cs-CZ"/>
        </w:rPr>
        <w:br/>
      </w:r>
      <w:r w:rsidR="00944DCC">
        <w:rPr>
          <w:rFonts w:eastAsia="Times New Roman" w:cs="Calibri"/>
          <w:color w:val="222221"/>
          <w:lang w:eastAsia="cs-CZ"/>
        </w:rPr>
        <w:br/>
      </w:r>
      <w:r w:rsidR="00944DCC" w:rsidRPr="00F63A90">
        <w:rPr>
          <w:rFonts w:eastAsia="Times New Roman" w:cs="Calibri"/>
          <w:color w:val="222221"/>
          <w:lang w:eastAsia="cs-CZ"/>
        </w:rPr>
        <w:t>Garantem soutěže j</w:t>
      </w:r>
      <w:r w:rsidR="0024724A">
        <w:rPr>
          <w:rFonts w:eastAsia="Times New Roman" w:cs="Calibri"/>
          <w:color w:val="222221"/>
          <w:lang w:eastAsia="cs-CZ"/>
        </w:rPr>
        <w:t>e</w:t>
      </w:r>
      <w:r w:rsidR="00944DCC" w:rsidRPr="00F63A90">
        <w:rPr>
          <w:rFonts w:eastAsia="Times New Roman" w:cs="Calibri"/>
          <w:color w:val="222221"/>
          <w:lang w:eastAsia="cs-CZ"/>
        </w:rPr>
        <w:t xml:space="preserve"> AMSP ČR, mediálním partnerem TRADE NEWS a </w:t>
      </w:r>
      <w:r w:rsidR="00944DCC">
        <w:rPr>
          <w:rFonts w:eastAsia="Times New Roman" w:cs="Calibri"/>
          <w:color w:val="222221"/>
          <w:lang w:eastAsia="cs-CZ"/>
        </w:rPr>
        <w:t>d</w:t>
      </w:r>
      <w:r w:rsidR="0024724A">
        <w:rPr>
          <w:rFonts w:eastAsia="Times New Roman" w:cs="Calibri"/>
          <w:color w:val="222221"/>
          <w:lang w:eastAsia="cs-CZ"/>
        </w:rPr>
        <w:t>á</w:t>
      </w:r>
      <w:r w:rsidR="00944DCC">
        <w:rPr>
          <w:rFonts w:eastAsia="Times New Roman" w:cs="Calibri"/>
          <w:color w:val="222221"/>
          <w:lang w:eastAsia="cs-CZ"/>
        </w:rPr>
        <w:t>le pak</w:t>
      </w:r>
      <w:r w:rsidR="00944DCC" w:rsidRPr="00F63A90">
        <w:rPr>
          <w:rFonts w:eastAsia="Times New Roman" w:cs="Calibri"/>
          <w:color w:val="222221"/>
          <w:lang w:eastAsia="cs-CZ"/>
        </w:rPr>
        <w:t xml:space="preserve"> Plakátov.cz, iPodnikatel, Webmium, eLegal, Performia, Fakturoid, Webglobe, Technologické Centrum HK a StartupBox.</w:t>
      </w:r>
    </w:p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11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969"/>
        <w:gridCol w:w="4253"/>
        <w:gridCol w:w="2926"/>
      </w:tblGrid>
      <w:tr w:rsidR="00737857" w14:paraId="48752372" w14:textId="77777777" w:rsidTr="00737857">
        <w:tc>
          <w:tcPr>
            <w:tcW w:w="3969" w:type="dxa"/>
          </w:tcPr>
          <w:p w14:paraId="19653E5C" w14:textId="77777777" w:rsidR="00737857" w:rsidRPr="00014683" w:rsidRDefault="00737857" w:rsidP="00737857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5C1604B2" w14:textId="77777777" w:rsidR="00737857" w:rsidRPr="00014683" w:rsidRDefault="00737857" w:rsidP="00737857">
            <w:pPr>
              <w:rPr>
                <w:sz w:val="18"/>
                <w:szCs w:val="18"/>
              </w:rPr>
            </w:pPr>
            <w:hyperlink r:id="rId12" w:history="1">
              <w:r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48DED3E2" w14:textId="53BF001F" w:rsidR="00737857" w:rsidRPr="00014683" w:rsidRDefault="00737857" w:rsidP="00737857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4253" w:type="dxa"/>
          </w:tcPr>
          <w:p w14:paraId="2BAF1A22" w14:textId="77777777" w:rsidR="00737857" w:rsidRPr="00014683" w:rsidRDefault="00737857" w:rsidP="00737857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778A67A2" w14:textId="77777777" w:rsidR="00737857" w:rsidRPr="00014683" w:rsidRDefault="00737857" w:rsidP="00737857">
            <w:pPr>
              <w:rPr>
                <w:sz w:val="18"/>
                <w:szCs w:val="18"/>
              </w:rPr>
            </w:pPr>
            <w:hyperlink r:id="rId13" w:history="1">
              <w:r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7707430" w14:textId="13B6B787" w:rsidR="00737857" w:rsidRPr="00014683" w:rsidRDefault="00737857" w:rsidP="00737857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2926" w:type="dxa"/>
          </w:tcPr>
          <w:p w14:paraId="63AB6B51" w14:textId="77777777" w:rsidR="00737857" w:rsidRPr="00014683" w:rsidRDefault="00737857" w:rsidP="00737857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4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72D3F544" w14:textId="4240E1E2" w:rsidR="00737857" w:rsidRPr="00014683" w:rsidRDefault="00737857" w:rsidP="00737857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157B" w14:textId="77777777" w:rsidR="00D623C4" w:rsidRDefault="00D623C4" w:rsidP="00014683">
      <w:pPr>
        <w:spacing w:line="240" w:lineRule="auto"/>
      </w:pPr>
      <w:r>
        <w:separator/>
      </w:r>
    </w:p>
  </w:endnote>
  <w:endnote w:type="continuationSeparator" w:id="0">
    <w:p w14:paraId="474E61CC" w14:textId="77777777" w:rsidR="00D623C4" w:rsidRDefault="00D623C4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D623C4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CCDB" w14:textId="77777777" w:rsidR="00D623C4" w:rsidRDefault="00D623C4" w:rsidP="00014683">
      <w:pPr>
        <w:spacing w:line="240" w:lineRule="auto"/>
      </w:pPr>
      <w:r>
        <w:separator/>
      </w:r>
    </w:p>
  </w:footnote>
  <w:footnote w:type="continuationSeparator" w:id="0">
    <w:p w14:paraId="03C87869" w14:textId="77777777" w:rsidR="00D623C4" w:rsidRDefault="00D623C4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91EA8"/>
    <w:rsid w:val="000E6239"/>
    <w:rsid w:val="00166D04"/>
    <w:rsid w:val="001B3C9F"/>
    <w:rsid w:val="001B5CBF"/>
    <w:rsid w:val="001C5B9A"/>
    <w:rsid w:val="001D7BF5"/>
    <w:rsid w:val="0024724A"/>
    <w:rsid w:val="00351FF5"/>
    <w:rsid w:val="00355AFC"/>
    <w:rsid w:val="00407642"/>
    <w:rsid w:val="00502BF5"/>
    <w:rsid w:val="00544872"/>
    <w:rsid w:val="00557C4C"/>
    <w:rsid w:val="005E176C"/>
    <w:rsid w:val="00652624"/>
    <w:rsid w:val="00684D56"/>
    <w:rsid w:val="006A3CAF"/>
    <w:rsid w:val="00737857"/>
    <w:rsid w:val="00770187"/>
    <w:rsid w:val="007A74D3"/>
    <w:rsid w:val="00822C30"/>
    <w:rsid w:val="008E2FD9"/>
    <w:rsid w:val="008E49F7"/>
    <w:rsid w:val="008E5786"/>
    <w:rsid w:val="00916B99"/>
    <w:rsid w:val="00922ADA"/>
    <w:rsid w:val="00933504"/>
    <w:rsid w:val="00944DCC"/>
    <w:rsid w:val="00945BEC"/>
    <w:rsid w:val="00A42075"/>
    <w:rsid w:val="00B0339B"/>
    <w:rsid w:val="00B74A09"/>
    <w:rsid w:val="00BA6F75"/>
    <w:rsid w:val="00C35A8B"/>
    <w:rsid w:val="00C57BCC"/>
    <w:rsid w:val="00CC13E7"/>
    <w:rsid w:val="00D040B2"/>
    <w:rsid w:val="00D428B2"/>
    <w:rsid w:val="00D623C4"/>
    <w:rsid w:val="00DB1949"/>
    <w:rsid w:val="00DB4B06"/>
    <w:rsid w:val="00E04801"/>
    <w:rsid w:val="00E10F41"/>
    <w:rsid w:val="00E51958"/>
    <w:rsid w:val="00E66168"/>
    <w:rsid w:val="00E81CA3"/>
    <w:rsid w:val="00ED5E0E"/>
    <w:rsid w:val="00F16C2C"/>
    <w:rsid w:val="00F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l_teubner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_nevoralova@kb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tartujtese.cz/o-soutez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startujtese.cz/muj-ucet/registr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tartujtese.cz/prehled-cen-pro-letosni-rocnik" TargetMode="External"/><Relationship Id="rId14" Type="http://schemas.openxmlformats.org/officeDocument/2006/relationships/hyperlink" Target="mailto:tomas_zavoral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19</cp:revision>
  <dcterms:created xsi:type="dcterms:W3CDTF">2023-04-26T07:15:00Z</dcterms:created>
  <dcterms:modified xsi:type="dcterms:W3CDTF">2023-05-02T10:38:00Z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2023-05-02T10:38:06Z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