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45CB" w14:textId="77777777" w:rsidR="006C0694" w:rsidRDefault="006C0694" w:rsidP="006C0694">
      <w:pPr>
        <w:rPr>
          <w:b/>
          <w:bCs/>
          <w:sz w:val="32"/>
          <w:szCs w:val="32"/>
        </w:rPr>
      </w:pPr>
    </w:p>
    <w:p w14:paraId="32036E58" w14:textId="4E8BF07A" w:rsidR="006C0694" w:rsidRDefault="006C0694" w:rsidP="006C0694">
      <w:pPr>
        <w:rPr>
          <w:rFonts w:asciiTheme="minorHAnsi" w:hAnsiTheme="minorHAnsi"/>
          <w:b/>
          <w:bCs/>
          <w:sz w:val="32"/>
          <w:szCs w:val="32"/>
        </w:rPr>
      </w:pPr>
      <w:r>
        <w:rPr>
          <w:b/>
          <w:bCs/>
          <w:sz w:val="32"/>
          <w:szCs w:val="32"/>
        </w:rPr>
        <w:t xml:space="preserve">Analýza </w:t>
      </w:r>
      <w:proofErr w:type="spellStart"/>
      <w:r>
        <w:rPr>
          <w:b/>
          <w:bCs/>
          <w:sz w:val="32"/>
          <w:szCs w:val="32"/>
        </w:rPr>
        <w:t>FinGO</w:t>
      </w:r>
      <w:proofErr w:type="spellEnd"/>
      <w:r>
        <w:rPr>
          <w:b/>
          <w:bCs/>
          <w:sz w:val="32"/>
          <w:szCs w:val="32"/>
        </w:rPr>
        <w:t xml:space="preserve"> k dani z nemovitosti v ČR a na Slovensku. Kolik platí majitelé nemovitostí v Bratislavě nebo v Praze? </w:t>
      </w:r>
    </w:p>
    <w:p w14:paraId="02D11B21" w14:textId="77777777" w:rsidR="006C0694" w:rsidRDefault="006C0694" w:rsidP="006C0694">
      <w:r>
        <w:t>Česká republika i Slovensko mají relativně podobný systém daně z nemovitosti (pozn. formálně v ČR jde o daň z nemovitých věcí). V obou zemích je příjem z daně v současnosti 100procentním příjmem dané obce nebo města. Stejně tak si obce v ČR i na Slovensku určují do jisté míry výši daně sami.</w:t>
      </w:r>
    </w:p>
    <w:p w14:paraId="48EC8462" w14:textId="77777777" w:rsidR="006C0694" w:rsidRDefault="006C0694" w:rsidP="006C0694">
      <w:r>
        <w:t>V Česku sazba daně závisí na kvalitě pozemku, jeho umístění a na způsobu jeho využití. V případě staveb je základem daně jejich zastavěná plocha, sazba daně závisí na druhu a způsobu využití stavby.</w:t>
      </w:r>
    </w:p>
    <w:p w14:paraId="642C3A46" w14:textId="77777777" w:rsidR="006C0694" w:rsidRDefault="006C0694" w:rsidP="006C0694">
      <w:r>
        <w:t>Obce mohou nyní zvýšit daň z nemovitosti pomocí místního koeficientu v rozmezí 1,1 až pět, kterým se násobí základní sazba stanovená podle počtu obyvatel.</w:t>
      </w:r>
    </w:p>
    <w:p w14:paraId="0145DCDB" w14:textId="77777777" w:rsidR="006C0694" w:rsidRDefault="006C0694" w:rsidP="006C0694">
      <w:pPr>
        <w:rPr>
          <w:i/>
          <w:iCs/>
          <w:sz w:val="18"/>
          <w:szCs w:val="18"/>
        </w:rPr>
      </w:pPr>
      <w:r>
        <w:rPr>
          <w:i/>
          <w:iCs/>
          <w:sz w:val="18"/>
          <w:szCs w:val="18"/>
        </w:rPr>
        <w:t>(Poznámka – Pokud si obec koeficient nestanoví obecně závaznou vyhláškou pro jednotlivé části obce, platí koeficienty podle počtu obyvatel v obci z posledního sčítání lidu uvedené v zákoně.)</w:t>
      </w:r>
    </w:p>
    <w:p w14:paraId="75CE9E97" w14:textId="77777777" w:rsidR="006C0694" w:rsidRDefault="006C0694" w:rsidP="006C0694">
      <w:pPr>
        <w:rPr>
          <w:b/>
          <w:bCs/>
        </w:rPr>
      </w:pPr>
      <w:r>
        <w:rPr>
          <w:b/>
          <w:bCs/>
        </w:rPr>
        <w:t>Dopad změn na realitní trh v ČR bude omezený</w:t>
      </w:r>
    </w:p>
    <w:p w14:paraId="2E1F8CAE" w14:textId="77777777" w:rsidR="006C0694" w:rsidRDefault="006C0694" w:rsidP="006C0694">
      <w:r>
        <w:t>V rámci balíku a ozdravení financí vláda nyní přišla ale s úpravou daně z nemovitosti. Kabinet chce totiž zavést tzv. státní koeficient ve výši 1, jehož inkaso bude 100procentním příjmem státu. Obecní rozpočty zavedení státního koeficientu rozpočtově</w:t>
      </w:r>
      <w:r>
        <w:rPr>
          <w:rFonts w:ascii="Arial" w:hAnsi="Arial" w:cs="Arial"/>
        </w:rPr>
        <w:t>̌</w:t>
      </w:r>
      <w:r>
        <w:t xml:space="preserve"> podle vl</w:t>
      </w:r>
      <w:r>
        <w:rPr>
          <w:rFonts w:cs="Open Sans"/>
        </w:rPr>
        <w:t>á</w:t>
      </w:r>
      <w:r>
        <w:t>dy ale nijak nepo</w:t>
      </w:r>
      <w:r>
        <w:rPr>
          <w:rFonts w:cs="Open Sans"/>
        </w:rPr>
        <w:t>š</w:t>
      </w:r>
      <w:r>
        <w:t>kod</w:t>
      </w:r>
      <w:r>
        <w:rPr>
          <w:rFonts w:cs="Open Sans"/>
        </w:rPr>
        <w:t>í</w:t>
      </w:r>
      <w:r>
        <w:t xml:space="preserve"> a bude jim nad</w:t>
      </w:r>
      <w:r>
        <w:rPr>
          <w:rFonts w:cs="Open Sans"/>
        </w:rPr>
        <w:t>á</w:t>
      </w:r>
      <w:r>
        <w:t>le n</w:t>
      </w:r>
      <w:r>
        <w:rPr>
          <w:rFonts w:cs="Open Sans"/>
        </w:rPr>
        <w:t>á</w:t>
      </w:r>
      <w:r>
        <w:t>le</w:t>
      </w:r>
      <w:r>
        <w:rPr>
          <w:rFonts w:cs="Open Sans"/>
        </w:rPr>
        <w:t>ž</w:t>
      </w:r>
      <w:r>
        <w:t>et dosavadn</w:t>
      </w:r>
      <w:r>
        <w:rPr>
          <w:rFonts w:cs="Open Sans"/>
        </w:rPr>
        <w:t>í</w:t>
      </w:r>
      <w:r>
        <w:t xml:space="preserve"> inkaso dane</w:t>
      </w:r>
      <w:r>
        <w:rPr>
          <w:rFonts w:ascii="Arial" w:hAnsi="Arial" w:cs="Arial"/>
        </w:rPr>
        <w:t>̌</w:t>
      </w:r>
      <w:r>
        <w:t>. St</w:t>
      </w:r>
      <w:r>
        <w:rPr>
          <w:rFonts w:cs="Open Sans"/>
        </w:rPr>
        <w:t>á</w:t>
      </w:r>
      <w:r>
        <w:t>t by tak ale mohl z</w:t>
      </w:r>
      <w:r>
        <w:rPr>
          <w:rFonts w:cs="Open Sans"/>
        </w:rPr>
        <w:t>í</w:t>
      </w:r>
      <w:r>
        <w:t>skat zhruba 9,3 miliardy korun ro</w:t>
      </w:r>
      <w:r>
        <w:rPr>
          <w:rFonts w:cs="Open Sans"/>
        </w:rPr>
        <w:t>č</w:t>
      </w:r>
      <w:r>
        <w:t>n</w:t>
      </w:r>
      <w:r>
        <w:rPr>
          <w:rFonts w:cs="Open Sans"/>
        </w:rPr>
        <w:t>ě</w:t>
      </w:r>
      <w:r>
        <w:t>.</w:t>
      </w:r>
    </w:p>
    <w:p w14:paraId="305D191E" w14:textId="77777777" w:rsidR="006C0694" w:rsidRDefault="006C0694" w:rsidP="006C0694">
      <w:r>
        <w:t>„U obcí s koeficientem 1 se tak daň maximálně zdvojnásobí. U vyšších koeficientů dojde k navýšení klesající až k jedné třetině oproti stávajícímu stavu. Vzhledem k tomu, že se obvykle jedná o stovky, maximálně nižší tisíce korun u rezidenčních nemovitostí, nemělo by to mít nějaký extrémní dopad na retailový realitní trh,“ uvedl k plánované změně specialista na reality ze společnosti FinGO.cz Michal Naď.</w:t>
      </w:r>
    </w:p>
    <w:p w14:paraId="5CEEB608" w14:textId="0A640FD6" w:rsidR="006C0694" w:rsidRDefault="006C0694" w:rsidP="006C0694">
      <w:pPr>
        <w:rPr>
          <w:i/>
          <w:iCs/>
          <w:sz w:val="18"/>
          <w:szCs w:val="18"/>
        </w:rPr>
      </w:pPr>
      <w:r>
        <w:rPr>
          <w:i/>
          <w:iCs/>
          <w:sz w:val="18"/>
          <w:szCs w:val="18"/>
        </w:rPr>
        <w:t>(Poznámka – Samotné ministerstvo financí uvedlo, že například za průměrný 70metrový byt na Praze 1 dnes majitel zaplatí zhruba 1700 Kč ročně, nově bude platit cca 2500 Kč. Za podobně velk</w:t>
      </w:r>
      <w:r>
        <w:rPr>
          <w:rFonts w:cs="Open Sans"/>
          <w:i/>
          <w:iCs/>
          <w:sz w:val="18"/>
          <w:szCs w:val="18"/>
        </w:rPr>
        <w:t>ý</w:t>
      </w:r>
      <w:r>
        <w:rPr>
          <w:i/>
          <w:iCs/>
          <w:sz w:val="18"/>
          <w:szCs w:val="18"/>
        </w:rPr>
        <w:t xml:space="preserve"> byt v Brně zaplat</w:t>
      </w:r>
      <w:r>
        <w:rPr>
          <w:rFonts w:cs="Open Sans"/>
          <w:i/>
          <w:iCs/>
          <w:sz w:val="18"/>
          <w:szCs w:val="18"/>
        </w:rPr>
        <w:t>í</w:t>
      </w:r>
      <w:r>
        <w:rPr>
          <w:i/>
          <w:iCs/>
          <w:sz w:val="18"/>
          <w:szCs w:val="18"/>
        </w:rPr>
        <w:t xml:space="preserve"> dnes majitel zhruba 600 Kč, nově to bude asi 1 200 Kč. V Ostravě a v Plzni se daň li</w:t>
      </w:r>
      <w:r>
        <w:rPr>
          <w:rFonts w:cs="Open Sans"/>
          <w:i/>
          <w:iCs/>
          <w:sz w:val="18"/>
          <w:szCs w:val="18"/>
        </w:rPr>
        <w:t>ší</w:t>
      </w:r>
      <w:r>
        <w:rPr>
          <w:i/>
          <w:iCs/>
          <w:sz w:val="18"/>
          <w:szCs w:val="18"/>
        </w:rPr>
        <w:t xml:space="preserve"> podle m</w:t>
      </w:r>
      <w:r>
        <w:rPr>
          <w:rFonts w:cs="Open Sans"/>
          <w:i/>
          <w:iCs/>
          <w:sz w:val="18"/>
          <w:szCs w:val="18"/>
        </w:rPr>
        <w:t>ě</w:t>
      </w:r>
      <w:r>
        <w:rPr>
          <w:i/>
          <w:iCs/>
          <w:sz w:val="18"/>
          <w:szCs w:val="18"/>
        </w:rPr>
        <w:t>stsk</w:t>
      </w:r>
      <w:r>
        <w:rPr>
          <w:rFonts w:cs="Open Sans"/>
          <w:i/>
          <w:iCs/>
          <w:sz w:val="18"/>
          <w:szCs w:val="18"/>
        </w:rPr>
        <w:t>é</w:t>
      </w:r>
      <w:r>
        <w:rPr>
          <w:i/>
          <w:iCs/>
          <w:sz w:val="18"/>
          <w:szCs w:val="18"/>
        </w:rPr>
        <w:t xml:space="preserve"> </w:t>
      </w:r>
      <w:r>
        <w:rPr>
          <w:rFonts w:cs="Open Sans"/>
          <w:i/>
          <w:iCs/>
          <w:sz w:val="18"/>
          <w:szCs w:val="18"/>
        </w:rPr>
        <w:t>čá</w:t>
      </w:r>
      <w:r>
        <w:rPr>
          <w:i/>
          <w:iCs/>
          <w:sz w:val="18"/>
          <w:szCs w:val="18"/>
        </w:rPr>
        <w:t>sti. V obou m</w:t>
      </w:r>
      <w:r>
        <w:rPr>
          <w:rFonts w:cs="Open Sans"/>
          <w:i/>
          <w:iCs/>
          <w:sz w:val="18"/>
          <w:szCs w:val="18"/>
        </w:rPr>
        <w:t>ě</w:t>
      </w:r>
      <w:r>
        <w:rPr>
          <w:i/>
          <w:iCs/>
          <w:sz w:val="18"/>
          <w:szCs w:val="18"/>
        </w:rPr>
        <w:t>stech mu</w:t>
      </w:r>
      <w:r>
        <w:rPr>
          <w:rFonts w:cs="Open Sans"/>
          <w:i/>
          <w:iCs/>
          <w:sz w:val="18"/>
          <w:szCs w:val="18"/>
        </w:rPr>
        <w:t>ž</w:t>
      </w:r>
      <w:r>
        <w:rPr>
          <w:i/>
          <w:iCs/>
          <w:sz w:val="18"/>
          <w:szCs w:val="18"/>
        </w:rPr>
        <w:t>e dosahovat a</w:t>
      </w:r>
      <w:r>
        <w:rPr>
          <w:rFonts w:cs="Open Sans"/>
          <w:i/>
          <w:iCs/>
          <w:sz w:val="18"/>
          <w:szCs w:val="18"/>
        </w:rPr>
        <w:t>ž</w:t>
      </w:r>
      <w:r>
        <w:rPr>
          <w:i/>
          <w:iCs/>
          <w:sz w:val="18"/>
          <w:szCs w:val="18"/>
        </w:rPr>
        <w:t xml:space="preserve"> 770 Kč s t</w:t>
      </w:r>
      <w:r>
        <w:rPr>
          <w:rFonts w:cs="Open Sans"/>
          <w:i/>
          <w:iCs/>
          <w:sz w:val="18"/>
          <w:szCs w:val="18"/>
        </w:rPr>
        <w:t>í</w:t>
      </w:r>
      <w:r>
        <w:rPr>
          <w:i/>
          <w:iCs/>
          <w:sz w:val="18"/>
          <w:szCs w:val="18"/>
        </w:rPr>
        <w:t xml:space="preserve">m, </w:t>
      </w:r>
      <w:r>
        <w:rPr>
          <w:rFonts w:cs="Open Sans"/>
          <w:i/>
          <w:iCs/>
          <w:sz w:val="18"/>
          <w:szCs w:val="18"/>
        </w:rPr>
        <w:t>ž</w:t>
      </w:r>
      <w:r>
        <w:rPr>
          <w:i/>
          <w:iCs/>
          <w:sz w:val="18"/>
          <w:szCs w:val="18"/>
        </w:rPr>
        <w:t>e nově to bude zhruba 1450 Kč.)</w:t>
      </w:r>
    </w:p>
    <w:p w14:paraId="05C21170" w14:textId="77777777" w:rsidR="006C0694" w:rsidRDefault="006C0694" w:rsidP="006C0694">
      <w:r>
        <w:t xml:space="preserve">Na Slovensku každá obec a město mohou vytvářet různé kategorie nemovitostí podle typu i polohy. Nejnižší bývají sazby u nemovitostí určených pro bydlení. Více jsou pak zpravidla zdaněné nebytové prostory, jako jsou například i garáže. </w:t>
      </w:r>
    </w:p>
    <w:p w14:paraId="5073BE0D" w14:textId="77777777" w:rsidR="006C0694" w:rsidRDefault="006C0694" w:rsidP="006C0694">
      <w:pPr>
        <w:rPr>
          <w:b/>
          <w:bCs/>
        </w:rPr>
      </w:pPr>
      <w:r>
        <w:rPr>
          <w:b/>
          <w:bCs/>
        </w:rPr>
        <w:t>Kolik se platí v Praze, Bratislavě nebo v Banské Bystřici</w:t>
      </w:r>
    </w:p>
    <w:p w14:paraId="0097CAF9" w14:textId="273D1026" w:rsidR="006C0694" w:rsidRDefault="006C0694" w:rsidP="006C0694">
      <w:r>
        <w:t xml:space="preserve">Ve výsledku je tak výše daně nemovitosti na Slovensku, stejně jako v Česku, mezi jednotlivými městy a obcemi rozdílná. Například malé město </w:t>
      </w:r>
      <w:proofErr w:type="spellStart"/>
      <w:r>
        <w:t>Šaľa</w:t>
      </w:r>
      <w:proofErr w:type="spellEnd"/>
      <w:r>
        <w:t xml:space="preserve"> má daň za jeden </w:t>
      </w:r>
      <w:r>
        <w:lastRenderedPageBreak/>
        <w:t xml:space="preserve">čtvereční metr bytu 40 centů (cca 9,50 Kč). V Bratislavě nebo Košicích je to pak 90 centů (cca 21,30 Kč) až jedno euro (23,70 Kč). Daň z nemovitosti u bratislavského bytu s rozlohou 75 m2 tak činí 75 euro ročně (1776 Kč), v </w:t>
      </w:r>
      <w:proofErr w:type="spellStart"/>
      <w:r>
        <w:t>Šali</w:t>
      </w:r>
      <w:proofErr w:type="spellEnd"/>
      <w:r>
        <w:t xml:space="preserve"> to je 30 euro</w:t>
      </w:r>
      <w:r w:rsidR="2EE4291B">
        <w:t xml:space="preserve"> (710 Kč)</w:t>
      </w:r>
      <w:r>
        <w:t xml:space="preserve">. </w:t>
      </w:r>
    </w:p>
    <w:p w14:paraId="2437A05A" w14:textId="77777777" w:rsidR="006C0694" w:rsidRDefault="006C0694" w:rsidP="006C0694">
      <w:r>
        <w:t>V případě srovnání s ČR je tak výše daně velmi podobná, když daň u bytu stejné rozlohy v centru Prahy zaplatí majitel ročně na dani 1840 Kč.</w:t>
      </w:r>
    </w:p>
    <w:p w14:paraId="39DC3EA1" w14:textId="791B602B" w:rsidR="006C0694" w:rsidRDefault="006C0694" w:rsidP="006C0694">
      <w:r>
        <w:t>V případě rodinných domů pak mají obce na Slovensku sazebníky, v kterých je určena výška daně pro jednotlivé druhy staveb a pozemků. V Banské Bystrici je daň jednoho metru čtverečního u rodinného domu 65 centů</w:t>
      </w:r>
      <w:r w:rsidR="041D961F">
        <w:t xml:space="preserve"> (15,40 Kč)</w:t>
      </w:r>
      <w:r>
        <w:t>. V případě zastavěné plochy 130 m2 je tak daň zhruba 85 eur</w:t>
      </w:r>
      <w:r w:rsidR="6F388BE0">
        <w:t xml:space="preserve"> (2013 Kč)</w:t>
      </w:r>
      <w:r>
        <w:t>. Při započtení pozemku klasifikovaného jako zahrada, který má rozlohu 400 m2, pak celková daňová povinnost činí zhruba 190 eur ročně, tedy 4500 Kč.</w:t>
      </w:r>
    </w:p>
    <w:p w14:paraId="3BADA6D7" w14:textId="77777777" w:rsidR="006C0694" w:rsidRDefault="006C0694" w:rsidP="006C0694">
      <w:r>
        <w:t>Pro porovnání, majitel rodinného domu zhruba 30 km od Prahy se zastavěnou plochou 270 m2 a pozemkem 1800 m2 zaplatí na dani 565 Kč ročně.</w:t>
      </w:r>
    </w:p>
    <w:p w14:paraId="10CE1D30" w14:textId="77777777" w:rsidR="006C0694" w:rsidRDefault="006C0694" w:rsidP="006C0694">
      <w:pPr>
        <w:rPr>
          <w:b/>
          <w:bCs/>
        </w:rPr>
      </w:pPr>
      <w:r>
        <w:rPr>
          <w:b/>
          <w:bCs/>
        </w:rPr>
        <w:t>Je daň z nemovitostí příliš vysoká?</w:t>
      </w:r>
    </w:p>
    <w:p w14:paraId="67BB81F1" w14:textId="3AFE1277" w:rsidR="006C0694" w:rsidRDefault="006C0694" w:rsidP="006C0694">
      <w:r>
        <w:t xml:space="preserve">I když v případě rodinného domů se může zdát zdanění na Slovensku vyšší než v ČR, podle ředitelky realitní platformy </w:t>
      </w:r>
      <w:proofErr w:type="spellStart"/>
      <w:r>
        <w:t>FinGO</w:t>
      </w:r>
      <w:proofErr w:type="spellEnd"/>
      <w:r>
        <w:t xml:space="preserve"> </w:t>
      </w:r>
      <w:proofErr w:type="spellStart"/>
      <w:r w:rsidR="22632DE7">
        <w:t>recloud</w:t>
      </w:r>
      <w:proofErr w:type="spellEnd"/>
      <w:r w:rsidR="22632DE7">
        <w:t xml:space="preserve"> </w:t>
      </w:r>
      <w:r>
        <w:t>na Slovensku R</w:t>
      </w:r>
      <w:r w:rsidR="3EEE3085">
        <w:t>ó</w:t>
      </w:r>
      <w:r>
        <w:t xml:space="preserve">berty </w:t>
      </w:r>
      <w:proofErr w:type="spellStart"/>
      <w:r>
        <w:t>Meckové</w:t>
      </w:r>
      <w:proofErr w:type="spellEnd"/>
      <w:r>
        <w:t xml:space="preserve"> není z objektivního pohledu daň z nemovitosti na Slovensku vysoká. „Je třeba se na to totiž podívat i z historického hlediska. Při tvorbě daňových zákonů se totiž na nemovitosti nenahlíželo jako na investici. Dnes to tak ale je. Ten, kdo vlastní byt nebo dům je fakticky „korunovým milionářem“. Kdyby se na nemovitosti v minulosti nahlíželo jako na investici, neměli bychom nyní tak nízké daňové zatížení. Slovensko je navíc specifické v tom, že příjem z prodeje nemovitosti je po pěti letech i pro fyzické osoby osvobozen od daně. V tom je Slovensko daňový ráj, jako Panama,“ uvedla </w:t>
      </w:r>
      <w:proofErr w:type="spellStart"/>
      <w:r>
        <w:t>Mecková</w:t>
      </w:r>
      <w:proofErr w:type="spellEnd"/>
      <w:r>
        <w:t xml:space="preserve">. </w:t>
      </w:r>
    </w:p>
    <w:p w14:paraId="63888985" w14:textId="77777777" w:rsidR="006C0694" w:rsidRDefault="006C0694" w:rsidP="006C0694">
      <w:r>
        <w:t>V tom případě je ale ČR ještě větší daňový ráj! Zde totiž vláda daň z převodu nemovitosti (pozn. technicky daň z nabytí nemovitých věcí) v roce 2020 v době pandemie koronaviru zrušila.</w:t>
      </w:r>
    </w:p>
    <w:p w14:paraId="001D9106" w14:textId="77777777" w:rsidR="006C0694" w:rsidRDefault="006C0694" w:rsidP="006C0694">
      <w:pPr>
        <w:rPr>
          <w:b/>
          <w:bCs/>
        </w:rPr>
      </w:pPr>
      <w:r>
        <w:rPr>
          <w:b/>
          <w:bCs/>
        </w:rPr>
        <w:t>Mezinárodní srovnání</w:t>
      </w:r>
    </w:p>
    <w:p w14:paraId="0D7DD34E" w14:textId="57C0D372" w:rsidR="006C0694" w:rsidRDefault="006C0694" w:rsidP="006C0694">
      <w:r>
        <w:t>Samotné české ministerstvo financí při představení balíku změn uvedlo, že „daňové zatížení segmentu nemovitostí v C</w:t>
      </w:r>
      <w:r>
        <w:rPr>
          <w:rFonts w:ascii="Arial" w:hAnsi="Arial" w:cs="Arial"/>
        </w:rPr>
        <w:t>̌</w:t>
      </w:r>
      <w:r>
        <w:t>R je dlouhodobě bagateln</w:t>
      </w:r>
      <w:r>
        <w:rPr>
          <w:rFonts w:cs="Open Sans"/>
        </w:rPr>
        <w:t>í</w:t>
      </w:r>
      <w:r>
        <w:t>, co</w:t>
      </w:r>
      <w:r>
        <w:rPr>
          <w:rFonts w:cs="Open Sans"/>
        </w:rPr>
        <w:t>ž</w:t>
      </w:r>
      <w:r>
        <w:t xml:space="preserve"> d</w:t>
      </w:r>
      <w:r>
        <w:rPr>
          <w:rFonts w:cs="Open Sans"/>
        </w:rPr>
        <w:t>á</w:t>
      </w:r>
      <w:r>
        <w:t>le zv</w:t>
      </w:r>
      <w:r>
        <w:rPr>
          <w:rFonts w:cs="Open Sans"/>
        </w:rPr>
        <w:t>ý</w:t>
      </w:r>
      <w:r>
        <w:t>raznilo zru</w:t>
      </w:r>
      <w:r>
        <w:rPr>
          <w:rFonts w:cs="Open Sans"/>
        </w:rPr>
        <w:t>š</w:t>
      </w:r>
      <w:r>
        <w:t>en</w:t>
      </w:r>
      <w:r>
        <w:rPr>
          <w:rFonts w:cs="Open Sans"/>
        </w:rPr>
        <w:t>í</w:t>
      </w:r>
      <w:r>
        <w:t xml:space="preserve"> daně z nabyt</w:t>
      </w:r>
      <w:r>
        <w:rPr>
          <w:rFonts w:cs="Open Sans"/>
        </w:rPr>
        <w:t>í</w:t>
      </w:r>
      <w:r>
        <w:t xml:space="preserve"> nemovit</w:t>
      </w:r>
      <w:r>
        <w:rPr>
          <w:rFonts w:cs="Open Sans"/>
        </w:rPr>
        <w:t>ý</w:t>
      </w:r>
      <w:r>
        <w:t>ch v</w:t>
      </w:r>
      <w:r>
        <w:rPr>
          <w:rFonts w:cs="Open Sans"/>
        </w:rPr>
        <w:t>ě</w:t>
      </w:r>
      <w:r>
        <w:t>c</w:t>
      </w:r>
      <w:r>
        <w:rPr>
          <w:rFonts w:cs="Open Sans"/>
        </w:rPr>
        <w:t>í</w:t>
      </w:r>
      <w:r>
        <w:t xml:space="preserve"> v roce 2020.</w:t>
      </w:r>
      <w:r>
        <w:rPr>
          <w:rFonts w:cs="Open Sans"/>
        </w:rPr>
        <w:t>“</w:t>
      </w:r>
      <w:r>
        <w:t xml:space="preserve"> </w:t>
      </w:r>
    </w:p>
    <w:p w14:paraId="2F2004BC" w14:textId="77777777" w:rsidR="006C0694" w:rsidRDefault="006C0694" w:rsidP="006C0694">
      <w:r>
        <w:t xml:space="preserve">Podle statistik podíl výnosu běžné daně z nemovitých věcí v ČR na celkovém daňovém výnosu za rok 2020 dosahoval podílu 0,6 procenta, což ČR řadilo na 24. místo ze zemí EU. </w:t>
      </w:r>
    </w:p>
    <w:p w14:paraId="7A626DBB" w14:textId="187CEC2E" w:rsidR="006C0694" w:rsidRDefault="006C0694" w:rsidP="006C0694">
      <w:r>
        <w:t>Zároveň na HDP dosahoval v</w:t>
      </w:r>
      <w:r>
        <w:rPr>
          <w:rFonts w:cs="Open Sans"/>
        </w:rPr>
        <w:t>ý</w:t>
      </w:r>
      <w:r>
        <w:t>nos 0,2 procenta, tedy rovn</w:t>
      </w:r>
      <w:r>
        <w:rPr>
          <w:rFonts w:cs="Open Sans"/>
        </w:rPr>
        <w:t>ěž</w:t>
      </w:r>
      <w:r>
        <w:t xml:space="preserve"> na 24. m</w:t>
      </w:r>
      <w:r>
        <w:rPr>
          <w:rFonts w:cs="Open Sans"/>
        </w:rPr>
        <w:t>í</w:t>
      </w:r>
      <w:r>
        <w:t>sto v r</w:t>
      </w:r>
      <w:r>
        <w:rPr>
          <w:rFonts w:cs="Open Sans"/>
        </w:rPr>
        <w:t>á</w:t>
      </w:r>
      <w:r>
        <w:t>mci EU a 36. m</w:t>
      </w:r>
      <w:r>
        <w:rPr>
          <w:rFonts w:cs="Open Sans"/>
        </w:rPr>
        <w:t>í</w:t>
      </w:r>
      <w:r>
        <w:t>sto z 37 zem</w:t>
      </w:r>
      <w:r>
        <w:rPr>
          <w:rFonts w:cs="Open Sans"/>
        </w:rPr>
        <w:t>í</w:t>
      </w:r>
      <w:r>
        <w:t xml:space="preserve"> OECD (pr</w:t>
      </w:r>
      <w:r>
        <w:rPr>
          <w:rFonts w:cs="Open Sans"/>
        </w:rPr>
        <w:t>ů</w:t>
      </w:r>
      <w:r>
        <w:t>m</w:t>
      </w:r>
      <w:r>
        <w:rPr>
          <w:rFonts w:cs="Open Sans"/>
        </w:rPr>
        <w:t>ě</w:t>
      </w:r>
      <w:r>
        <w:t xml:space="preserve">r OECD 1,8 procenta HDP). </w:t>
      </w:r>
      <w:r>
        <w:rPr>
          <w:rFonts w:cs="Open Sans"/>
        </w:rPr>
        <w:t>„</w:t>
      </w:r>
      <w:r>
        <w:t>P</w:t>
      </w:r>
      <w:r>
        <w:rPr>
          <w:rFonts w:cs="Open Sans"/>
        </w:rPr>
        <w:t>ř</w:t>
      </w:r>
      <w:r>
        <w:t>i navr</w:t>
      </w:r>
      <w:r>
        <w:rPr>
          <w:rFonts w:cs="Open Sans"/>
        </w:rPr>
        <w:t>ž</w:t>
      </w:r>
      <w:r>
        <w:t>en</w:t>
      </w:r>
      <w:r>
        <w:rPr>
          <w:rFonts w:cs="Open Sans"/>
        </w:rPr>
        <w:t>é</w:t>
      </w:r>
      <w:r>
        <w:t>m zv</w:t>
      </w:r>
      <w:r>
        <w:rPr>
          <w:rFonts w:cs="Open Sans"/>
        </w:rPr>
        <w:t>ýš</w:t>
      </w:r>
      <w:r>
        <w:t>en</w:t>
      </w:r>
      <w:r>
        <w:rPr>
          <w:rFonts w:cs="Open Sans"/>
        </w:rPr>
        <w:t>í</w:t>
      </w:r>
      <w:r>
        <w:t xml:space="preserve"> daně z nemovit</w:t>
      </w:r>
      <w:r>
        <w:rPr>
          <w:rFonts w:cs="Open Sans"/>
        </w:rPr>
        <w:t>ý</w:t>
      </w:r>
      <w:r>
        <w:t>ch v</w:t>
      </w:r>
      <w:r>
        <w:rPr>
          <w:rFonts w:cs="Open Sans"/>
        </w:rPr>
        <w:t>ě</w:t>
      </w:r>
      <w:r>
        <w:t>c</w:t>
      </w:r>
      <w:r>
        <w:rPr>
          <w:rFonts w:cs="Open Sans"/>
        </w:rPr>
        <w:t>í</w:t>
      </w:r>
      <w:r>
        <w:t xml:space="preserve"> by se um</w:t>
      </w:r>
      <w:r>
        <w:rPr>
          <w:rFonts w:cs="Open Sans"/>
        </w:rPr>
        <w:t>í</w:t>
      </w:r>
      <w:r>
        <w:t>st</w:t>
      </w:r>
      <w:r>
        <w:rPr>
          <w:rFonts w:cs="Open Sans"/>
        </w:rPr>
        <w:t>ě</w:t>
      </w:r>
      <w:r>
        <w:t>n</w:t>
      </w:r>
      <w:r>
        <w:rPr>
          <w:rFonts w:cs="Open Sans"/>
        </w:rPr>
        <w:t>í</w:t>
      </w:r>
      <w:r>
        <w:t xml:space="preserve"> C</w:t>
      </w:r>
      <w:r>
        <w:rPr>
          <w:rFonts w:ascii="Arial" w:hAnsi="Arial" w:cs="Arial"/>
        </w:rPr>
        <w:t>̌</w:t>
      </w:r>
      <w:r>
        <w:t>R zm</w:t>
      </w:r>
      <w:r>
        <w:rPr>
          <w:rFonts w:cs="Open Sans"/>
        </w:rPr>
        <w:t>ě</w:t>
      </w:r>
      <w:r>
        <w:t>nilo na 19. až 20. místo v EU,“ uvedlo MF.</w:t>
      </w:r>
    </w:p>
    <w:p w14:paraId="2D18A7CB" w14:textId="77777777" w:rsidR="006C0694" w:rsidRDefault="006C0694" w:rsidP="006C0694">
      <w:r>
        <w:t>Na Slovensku je podíl výnosu daně z nemovitosti na HDP 0,48 procenta.</w:t>
      </w:r>
    </w:p>
    <w:p w14:paraId="25E9D490" w14:textId="77777777" w:rsidR="006C0694" w:rsidRDefault="006C0694" w:rsidP="006C0694"/>
    <w:p w14:paraId="168C6C89" w14:textId="77777777" w:rsidR="006C0694" w:rsidRDefault="006C0694" w:rsidP="006C0694"/>
    <w:p w14:paraId="242C7D8B" w14:textId="77777777" w:rsidR="006C0694" w:rsidRDefault="006C0694" w:rsidP="006C0694"/>
    <w:p w14:paraId="59D8F2B2" w14:textId="77777777" w:rsidR="006C0694" w:rsidRDefault="006C0694" w:rsidP="006C0694">
      <w:pPr>
        <w:rPr>
          <w:i/>
          <w:iCs/>
          <w:sz w:val="20"/>
          <w:szCs w:val="20"/>
        </w:rPr>
      </w:pPr>
      <w:r>
        <w:rPr>
          <w:i/>
          <w:iCs/>
          <w:sz w:val="20"/>
          <w:szCs w:val="20"/>
        </w:rPr>
        <w:t xml:space="preserve">O společnosti </w:t>
      </w:r>
      <w:proofErr w:type="spellStart"/>
      <w:r>
        <w:rPr>
          <w:i/>
          <w:iCs/>
          <w:sz w:val="20"/>
          <w:szCs w:val="20"/>
        </w:rPr>
        <w:t>FinGO</w:t>
      </w:r>
      <w:proofErr w:type="spellEnd"/>
      <w:r>
        <w:rPr>
          <w:i/>
          <w:iCs/>
          <w:sz w:val="20"/>
          <w:szCs w:val="20"/>
        </w:rPr>
        <w:t>:</w:t>
      </w:r>
    </w:p>
    <w:p w14:paraId="72E36F27" w14:textId="77777777" w:rsidR="006C0694" w:rsidRDefault="006C0694" w:rsidP="006C0694">
      <w:pPr>
        <w:rPr>
          <w:i/>
          <w:iCs/>
          <w:sz w:val="20"/>
          <w:szCs w:val="20"/>
        </w:rPr>
      </w:pPr>
      <w:r>
        <w:rPr>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1A2C18DE" w14:textId="0AD09DCB" w:rsidR="006C0694" w:rsidRDefault="006C0694" w:rsidP="0079C103">
      <w:pPr>
        <w:rPr>
          <w:i/>
          <w:iCs/>
          <w:sz w:val="20"/>
          <w:szCs w:val="20"/>
        </w:rPr>
      </w:pPr>
      <w:r w:rsidRPr="0079C103">
        <w:rPr>
          <w:i/>
          <w:iCs/>
          <w:sz w:val="20"/>
          <w:szCs w:val="20"/>
        </w:rPr>
        <w:t xml:space="preserve">Společnost </w:t>
      </w:r>
      <w:proofErr w:type="spellStart"/>
      <w:r w:rsidRPr="0079C103">
        <w:rPr>
          <w:i/>
          <w:iCs/>
          <w:sz w:val="20"/>
          <w:szCs w:val="20"/>
        </w:rPr>
        <w:t>FinG</w:t>
      </w:r>
      <w:r w:rsidR="74F34B79" w:rsidRPr="0079C103">
        <w:rPr>
          <w:i/>
          <w:iCs/>
          <w:sz w:val="20"/>
          <w:szCs w:val="20"/>
        </w:rPr>
        <w:t>O</w:t>
      </w:r>
      <w:proofErr w:type="spellEnd"/>
      <w:r w:rsidR="4323EA48" w:rsidRPr="0079C103">
        <w:rPr>
          <w:i/>
          <w:iCs/>
          <w:sz w:val="20"/>
          <w:szCs w:val="20"/>
        </w:rPr>
        <w:t xml:space="preserve"> </w:t>
      </w:r>
      <w:r w:rsidRPr="0079C103">
        <w:rPr>
          <w:i/>
          <w:iCs/>
          <w:sz w:val="20"/>
          <w:szCs w:val="20"/>
        </w:rPr>
        <w:t xml:space="preserve">je součástí lokální investiční skupiny </w:t>
      </w:r>
      <w:proofErr w:type="spellStart"/>
      <w:r w:rsidRPr="0079C103">
        <w:rPr>
          <w:i/>
          <w:iCs/>
          <w:sz w:val="20"/>
          <w:szCs w:val="20"/>
        </w:rPr>
        <w:t>InTeFi</w:t>
      </w:r>
      <w:proofErr w:type="spellEnd"/>
      <w:r w:rsidRPr="0079C103">
        <w:rPr>
          <w:i/>
          <w:iCs/>
          <w:sz w:val="20"/>
          <w:szCs w:val="20"/>
        </w:rPr>
        <w:t xml:space="preserve"> </w:t>
      </w:r>
      <w:proofErr w:type="spellStart"/>
      <w:r w:rsidRPr="0079C103">
        <w:rPr>
          <w:i/>
          <w:iCs/>
          <w:sz w:val="20"/>
          <w:szCs w:val="20"/>
        </w:rPr>
        <w:t>Capital</w:t>
      </w:r>
      <w:proofErr w:type="spellEnd"/>
      <w:r w:rsidRPr="0079C103">
        <w:rPr>
          <w:i/>
          <w:iCs/>
          <w:sz w:val="20"/>
          <w:szCs w:val="20"/>
        </w:rPr>
        <w:t xml:space="preserve"> podnikatele a investora Lukáše Nováka. Skupina vlastní a řídí české a slovenské společnosti z oblastí informačních technologií, financí, a </w:t>
      </w:r>
      <w:proofErr w:type="spellStart"/>
      <w:r w:rsidRPr="0079C103">
        <w:rPr>
          <w:i/>
          <w:iCs/>
          <w:sz w:val="20"/>
          <w:szCs w:val="20"/>
        </w:rPr>
        <w:t>real</w:t>
      </w:r>
      <w:proofErr w:type="spellEnd"/>
      <w:r w:rsidRPr="0079C103">
        <w:rPr>
          <w:i/>
          <w:iCs/>
          <w:sz w:val="20"/>
          <w:szCs w:val="20"/>
        </w:rPr>
        <w:t xml:space="preserve"> </w:t>
      </w:r>
      <w:proofErr w:type="spellStart"/>
      <w:r w:rsidRPr="0079C103">
        <w:rPr>
          <w:i/>
          <w:iCs/>
          <w:sz w:val="20"/>
          <w:szCs w:val="20"/>
        </w:rPr>
        <w:t>estate</w:t>
      </w:r>
      <w:proofErr w:type="spellEnd"/>
      <w:r w:rsidRPr="0079C103">
        <w:rPr>
          <w:i/>
          <w:iCs/>
          <w:sz w:val="20"/>
          <w:szCs w:val="20"/>
        </w:rPr>
        <w:t xml:space="preserve"> developmentu. Podíl vlastní například v technologické skupině </w:t>
      </w:r>
      <w:proofErr w:type="spellStart"/>
      <w:r w:rsidRPr="0079C103">
        <w:rPr>
          <w:i/>
          <w:iCs/>
          <w:sz w:val="20"/>
          <w:szCs w:val="20"/>
        </w:rPr>
        <w:t>BiQ</w:t>
      </w:r>
      <w:proofErr w:type="spellEnd"/>
      <w:r w:rsidRPr="0079C103">
        <w:rPr>
          <w:i/>
          <w:iCs/>
          <w:sz w:val="20"/>
          <w:szCs w:val="20"/>
        </w:rPr>
        <w:t xml:space="preserve"> Group, která vytváří komplexní a udržitelné IT projekty s budoucností. Společnost FinGO</w:t>
      </w:r>
      <w:r w:rsidR="4DD12B92" w:rsidRPr="0079C103">
        <w:rPr>
          <w:i/>
          <w:iCs/>
          <w:sz w:val="20"/>
          <w:szCs w:val="20"/>
        </w:rPr>
        <w:t>.sk</w:t>
      </w:r>
      <w:r w:rsidRPr="0079C103">
        <w:rPr>
          <w:i/>
          <w:iCs/>
          <w:sz w:val="20"/>
          <w:szCs w:val="20"/>
        </w:rPr>
        <w:t xml:space="preserve"> byla založena před pěti lety a stala se jednou z nejrychleji rostoucích společností ve svém oboru na Slovensku. Více než 1100 odborníků působí ve všech 79 okresech Slovenska a stará se o téměř 110 000 spokojených klientů.</w:t>
      </w:r>
    </w:p>
    <w:p w14:paraId="28C2AD21" w14:textId="77777777" w:rsidR="006C0694" w:rsidRDefault="006C0694" w:rsidP="006C0694">
      <w:pPr>
        <w:rPr>
          <w:sz w:val="24"/>
          <w:szCs w:val="24"/>
        </w:rPr>
      </w:pPr>
    </w:p>
    <w:p w14:paraId="4F789278" w14:textId="77777777" w:rsidR="006C0694" w:rsidRDefault="006C0694" w:rsidP="006C0694"/>
    <w:p w14:paraId="660D0772" w14:textId="77777777" w:rsidR="0096059C" w:rsidRPr="00BA0D1B" w:rsidRDefault="0096059C" w:rsidP="007774BA">
      <w:pPr>
        <w:rPr>
          <w:i/>
          <w:iCs/>
          <w:sz w:val="20"/>
          <w:szCs w:val="20"/>
        </w:rPr>
      </w:pPr>
      <w:r w:rsidRPr="007774BA">
        <w:rPr>
          <w:noProof/>
        </w:rPr>
        <w:drawing>
          <wp:anchor distT="0" distB="0" distL="114300" distR="114300" simplePos="0" relativeHeight="251659264" behindDoc="0" locked="0" layoutInCell="1" allowOverlap="1" wp14:anchorId="1CE38B57" wp14:editId="606543CC">
            <wp:simplePos x="0" y="0"/>
            <wp:positionH relativeFrom="margin">
              <wp:posOffset>3605530</wp:posOffset>
            </wp:positionH>
            <wp:positionV relativeFrom="paragraph">
              <wp:posOffset>331470</wp:posOffset>
            </wp:positionV>
            <wp:extent cx="460375" cy="431800"/>
            <wp:effectExtent l="0" t="0" r="0" b="6350"/>
            <wp:wrapSquare wrapText="bothSides"/>
            <wp:docPr id="2096601148" name="Obráze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3360" behindDoc="0" locked="0" layoutInCell="1" allowOverlap="1" wp14:anchorId="27E6D5FB" wp14:editId="5DABD519">
            <wp:simplePos x="0" y="0"/>
            <wp:positionH relativeFrom="column">
              <wp:posOffset>4643755</wp:posOffset>
            </wp:positionH>
            <wp:positionV relativeFrom="paragraph">
              <wp:posOffset>321945</wp:posOffset>
            </wp:positionV>
            <wp:extent cx="467995" cy="431800"/>
            <wp:effectExtent l="0" t="0" r="8255" b="6350"/>
            <wp:wrapSquare wrapText="bothSides"/>
            <wp:docPr id="415049230" name="Obráze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1312" behindDoc="0" locked="0" layoutInCell="1" allowOverlap="1" wp14:anchorId="241B14E6" wp14:editId="3DFD75D9">
            <wp:simplePos x="0" y="0"/>
            <wp:positionH relativeFrom="margin">
              <wp:posOffset>3957955</wp:posOffset>
            </wp:positionH>
            <wp:positionV relativeFrom="paragraph">
              <wp:posOffset>321945</wp:posOffset>
            </wp:positionV>
            <wp:extent cx="845820" cy="431800"/>
            <wp:effectExtent l="0" t="0" r="0" b="6350"/>
            <wp:wrapSquare wrapText="bothSides"/>
            <wp:docPr id="1399757103" name="Obráze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5408" behindDoc="0" locked="0" layoutInCell="1" allowOverlap="1" wp14:anchorId="3F9EEBCF" wp14:editId="4EC94634">
            <wp:simplePos x="0" y="0"/>
            <wp:positionH relativeFrom="margin">
              <wp:align>right</wp:align>
            </wp:positionH>
            <wp:positionV relativeFrom="paragraph">
              <wp:posOffset>340995</wp:posOffset>
            </wp:positionV>
            <wp:extent cx="572135" cy="431800"/>
            <wp:effectExtent l="0" t="0" r="0" b="6350"/>
            <wp:wrapSquare wrapText="bothSides"/>
            <wp:docPr id="1430303569" name="Obrázek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p>
    <w:sectPr w:rsidR="0096059C" w:rsidRPr="00BA0D1B">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8038" w14:textId="77777777" w:rsidR="00A7668F" w:rsidRDefault="00A7668F" w:rsidP="009B404E">
      <w:pPr>
        <w:spacing w:after="0" w:line="240" w:lineRule="auto"/>
      </w:pPr>
      <w:r>
        <w:separator/>
      </w:r>
    </w:p>
  </w:endnote>
  <w:endnote w:type="continuationSeparator" w:id="0">
    <w:p w14:paraId="5E8BA1A4" w14:textId="77777777" w:rsidR="00A7668F" w:rsidRDefault="00A7668F" w:rsidP="009B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6DD3DE42" w14:textId="77777777" w:rsidTr="7E791658">
      <w:trPr>
        <w:trHeight w:val="300"/>
      </w:trPr>
      <w:tc>
        <w:tcPr>
          <w:tcW w:w="3020" w:type="dxa"/>
        </w:tcPr>
        <w:p w14:paraId="4BDC0F6C" w14:textId="3CE7334E" w:rsidR="7E791658" w:rsidRDefault="7E791658" w:rsidP="7E791658">
          <w:pPr>
            <w:pStyle w:val="Zhlav"/>
            <w:ind w:left="-115"/>
          </w:pPr>
        </w:p>
      </w:tc>
      <w:tc>
        <w:tcPr>
          <w:tcW w:w="3020" w:type="dxa"/>
        </w:tcPr>
        <w:p w14:paraId="3FA7E6F0" w14:textId="60AEB287" w:rsidR="7E791658" w:rsidRDefault="7E791658" w:rsidP="7E791658">
          <w:pPr>
            <w:pStyle w:val="Zhlav"/>
            <w:jc w:val="center"/>
          </w:pPr>
        </w:p>
      </w:tc>
      <w:tc>
        <w:tcPr>
          <w:tcW w:w="3020" w:type="dxa"/>
        </w:tcPr>
        <w:p w14:paraId="4C20996C" w14:textId="24FCB643" w:rsidR="7E791658" w:rsidRDefault="7E791658" w:rsidP="7E791658">
          <w:pPr>
            <w:pStyle w:val="Zhlav"/>
            <w:ind w:right="-115"/>
            <w:jc w:val="right"/>
          </w:pPr>
        </w:p>
      </w:tc>
    </w:tr>
  </w:tbl>
  <w:p w14:paraId="36AE0FD7" w14:textId="148F8106" w:rsidR="7E791658" w:rsidRDefault="7E791658" w:rsidP="7E7916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F8C1" w14:textId="77777777" w:rsidR="00A7668F" w:rsidRDefault="00A7668F" w:rsidP="009B404E">
      <w:pPr>
        <w:spacing w:after="0" w:line="240" w:lineRule="auto"/>
      </w:pPr>
      <w:r>
        <w:separator/>
      </w:r>
    </w:p>
  </w:footnote>
  <w:footnote w:type="continuationSeparator" w:id="0">
    <w:p w14:paraId="1A1F4BF6" w14:textId="77777777" w:rsidR="00A7668F" w:rsidRDefault="00A7668F" w:rsidP="009B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AF65" w14:textId="77777777" w:rsidR="009B404E" w:rsidRDefault="009B404E">
    <w:pPr>
      <w:pStyle w:val="Zhlav"/>
      <w:rPr>
        <w:rFonts w:cs="Open Sans"/>
        <w:color w:val="333333"/>
        <w:sz w:val="30"/>
        <w:szCs w:val="30"/>
        <w:shd w:val="clear" w:color="auto" w:fill="FFFFFF"/>
      </w:rPr>
    </w:pPr>
    <w:r>
      <w:rPr>
        <w:noProof/>
      </w:rPr>
      <w:drawing>
        <wp:anchor distT="0" distB="0" distL="114300" distR="114300" simplePos="0" relativeHeight="251658240" behindDoc="0" locked="0" layoutInCell="1" allowOverlap="1" wp14:anchorId="0779C54C" wp14:editId="6592B01A">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r w:rsidR="009A6856">
      <w:rPr>
        <w:rFonts w:cs="Open Sans"/>
        <w:color w:val="333333"/>
        <w:sz w:val="30"/>
        <w:szCs w:val="30"/>
        <w:shd w:val="clear" w:color="auto" w:fill="FFFFFF"/>
      </w:rPr>
      <w:t>Analýza</w:t>
    </w:r>
  </w:p>
  <w:p w14:paraId="430EABA1" w14:textId="77777777" w:rsidR="009B404E" w:rsidRDefault="009B404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D"/>
    <w:rsid w:val="00065953"/>
    <w:rsid w:val="00160E3C"/>
    <w:rsid w:val="001653DF"/>
    <w:rsid w:val="001B4EA0"/>
    <w:rsid w:val="001C1F70"/>
    <w:rsid w:val="00204ED4"/>
    <w:rsid w:val="00233E02"/>
    <w:rsid w:val="00287DF5"/>
    <w:rsid w:val="003760BD"/>
    <w:rsid w:val="003E5D6E"/>
    <w:rsid w:val="004741F4"/>
    <w:rsid w:val="004866AD"/>
    <w:rsid w:val="00502BBA"/>
    <w:rsid w:val="00583C0E"/>
    <w:rsid w:val="005970E4"/>
    <w:rsid w:val="006A1663"/>
    <w:rsid w:val="006B3147"/>
    <w:rsid w:val="006C0694"/>
    <w:rsid w:val="007774BA"/>
    <w:rsid w:val="0079C103"/>
    <w:rsid w:val="007A0EAA"/>
    <w:rsid w:val="007A5EA9"/>
    <w:rsid w:val="007B0B03"/>
    <w:rsid w:val="007D7647"/>
    <w:rsid w:val="008118A6"/>
    <w:rsid w:val="00863DB8"/>
    <w:rsid w:val="0089657F"/>
    <w:rsid w:val="008A6C2D"/>
    <w:rsid w:val="008B3101"/>
    <w:rsid w:val="008F4BB2"/>
    <w:rsid w:val="00912EE6"/>
    <w:rsid w:val="00942094"/>
    <w:rsid w:val="0096059C"/>
    <w:rsid w:val="009726B3"/>
    <w:rsid w:val="009A6856"/>
    <w:rsid w:val="009B404E"/>
    <w:rsid w:val="00A7668F"/>
    <w:rsid w:val="00AC7B69"/>
    <w:rsid w:val="00B21DC7"/>
    <w:rsid w:val="00BA0D1B"/>
    <w:rsid w:val="00C10D7B"/>
    <w:rsid w:val="00C5060F"/>
    <w:rsid w:val="00CD7CB4"/>
    <w:rsid w:val="00CF09EA"/>
    <w:rsid w:val="00D0331D"/>
    <w:rsid w:val="00D773A8"/>
    <w:rsid w:val="00DA6895"/>
    <w:rsid w:val="00DF2E9C"/>
    <w:rsid w:val="00E07AB6"/>
    <w:rsid w:val="00E1263A"/>
    <w:rsid w:val="00E50585"/>
    <w:rsid w:val="00EB106F"/>
    <w:rsid w:val="00F17089"/>
    <w:rsid w:val="00F17816"/>
    <w:rsid w:val="00F44CAB"/>
    <w:rsid w:val="00F53CB5"/>
    <w:rsid w:val="00F76739"/>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B0673"/>
  <w15:chartTrackingRefBased/>
  <w15:docId w15:val="{5D816855-ADF6-4722-92D9-1550A1C1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4BA"/>
    <w:rPr>
      <w:rFonts w:ascii="Open Sans" w:hAnsi="Open Sans"/>
    </w:rPr>
  </w:style>
  <w:style w:type="paragraph" w:styleId="Nadpis1">
    <w:name w:val="heading 1"/>
    <w:basedOn w:val="Normln"/>
    <w:next w:val="Normln"/>
    <w:link w:val="Nadpis1Char"/>
    <w:uiPriority w:val="9"/>
    <w:qFormat/>
    <w:rsid w:val="007774BA"/>
    <w:pPr>
      <w:keepNext/>
      <w:keepLines/>
      <w:spacing w:before="240" w:after="12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7774BA"/>
    <w:rPr>
      <w:rFonts w:ascii="Open Sans" w:eastAsiaTheme="majorEastAsia" w:hAnsi="Open Sans" w:cstheme="majorBidi"/>
      <w:b/>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502BBA"/>
    <w:pPr>
      <w:spacing w:after="0" w:line="240" w:lineRule="auto"/>
    </w:pPr>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fingo-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fingocz" TargetMode="External"/><Relationship Id="rId5" Type="http://schemas.openxmlformats.org/officeDocument/2006/relationships/settings" Target="settings.xml"/><Relationship Id="rId15" Type="http://schemas.openxmlformats.org/officeDocument/2006/relationships/hyperlink" Target="https://www.youtube.com/@fingocz31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fingo.cz"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6" ma:contentTypeDescription="Create a new document." ma:contentTypeScope="" ma:versionID="dd6474d43fc2d2c2f8d86c40b9a8bb89">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829b522b53fcc53570aa67dbb13a4ced"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3.xml><?xml version="1.0" encoding="utf-8"?>
<ds:datastoreItem xmlns:ds="http://schemas.openxmlformats.org/officeDocument/2006/customXml" ds:itemID="{05F190B8-9628-4C77-9FD1-0229F0BA6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5582</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Kristina Bradičová</cp:lastModifiedBy>
  <cp:revision>6</cp:revision>
  <dcterms:created xsi:type="dcterms:W3CDTF">2023-05-24T09:34:00Z</dcterms:created>
  <dcterms:modified xsi:type="dcterms:W3CDTF">2023-06-07T09:27:00Z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