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614A" w14:textId="0E2E51FB" w:rsidR="00E66388" w:rsidRDefault="00AA07C0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>
        <w:rPr>
          <w:rFonts w:ascii="Invesco Interstate Bold" w:hAnsi="Invesco Interstate Bold"/>
          <w:b/>
          <w:bCs/>
          <w:sz w:val="28"/>
          <w:szCs w:val="28"/>
        </w:rPr>
        <w:t>Výhled</w:t>
      </w:r>
      <w:r w:rsidR="00916408">
        <w:rPr>
          <w:rFonts w:ascii="Invesco Interstate Bold" w:hAnsi="Invesco Interstate Bold"/>
          <w:b/>
          <w:bCs/>
          <w:sz w:val="28"/>
          <w:szCs w:val="28"/>
        </w:rPr>
        <w:t xml:space="preserve"> </w:t>
      </w:r>
      <w:proofErr w:type="spellStart"/>
      <w:r w:rsidR="001F7844">
        <w:rPr>
          <w:rFonts w:ascii="Invesco Interstate Bold" w:hAnsi="Invesco Interstate Bold"/>
          <w:b/>
          <w:bCs/>
          <w:sz w:val="28"/>
          <w:szCs w:val="28"/>
        </w:rPr>
        <w:t>Invesc</w:t>
      </w:r>
      <w:r>
        <w:rPr>
          <w:rFonts w:ascii="Invesco Interstate Bold" w:hAnsi="Invesco Interstate Bold"/>
          <w:b/>
          <w:bCs/>
          <w:sz w:val="28"/>
          <w:szCs w:val="28"/>
        </w:rPr>
        <w:t>a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 xml:space="preserve"> na druhou polovinu roku</w:t>
      </w:r>
      <w:r w:rsidR="001F7844">
        <w:rPr>
          <w:rFonts w:ascii="Invesco Interstate Bold" w:hAnsi="Invesco Interstate Bold"/>
          <w:b/>
          <w:bCs/>
          <w:sz w:val="28"/>
          <w:szCs w:val="28"/>
        </w:rPr>
        <w:t xml:space="preserve">: </w:t>
      </w:r>
      <w:r>
        <w:rPr>
          <w:rFonts w:ascii="Invesco Interstate Bold" w:hAnsi="Invesco Interstate Bold"/>
          <w:b/>
          <w:bCs/>
          <w:sz w:val="28"/>
          <w:szCs w:val="28"/>
        </w:rPr>
        <w:t>Očekáváme krátké a mírné zpomalení ekonomiky</w:t>
      </w:r>
    </w:p>
    <w:p w14:paraId="7B6388C7" w14:textId="77777777" w:rsidR="001F6A31" w:rsidRPr="001F6A31" w:rsidRDefault="001F6A31" w:rsidP="00916408">
      <w:pPr>
        <w:spacing w:before="100" w:beforeAutospacing="1" w:afterAutospacing="1"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1F6A31">
        <w:rPr>
          <w:rFonts w:ascii="Invesco Interstate Bold" w:hAnsi="Invesco Interstate Bold"/>
          <w:b/>
          <w:bCs/>
          <w:sz w:val="24"/>
          <w:szCs w:val="24"/>
        </w:rPr>
        <w:t xml:space="preserve">Komentář Kristiny </w:t>
      </w:r>
      <w:proofErr w:type="spellStart"/>
      <w:r w:rsidRPr="001F6A31">
        <w:rPr>
          <w:rFonts w:ascii="Invesco Interstate Bold" w:hAnsi="Invesco Interstate Bold"/>
          <w:b/>
          <w:bCs/>
          <w:sz w:val="24"/>
          <w:szCs w:val="24"/>
        </w:rPr>
        <w:t>Hooper</w:t>
      </w:r>
      <w:proofErr w:type="spellEnd"/>
      <w:r w:rsidRPr="001F6A31">
        <w:rPr>
          <w:rFonts w:ascii="Invesco Interstate Bold" w:hAnsi="Invesco Interstate Bold"/>
          <w:b/>
          <w:bCs/>
          <w:sz w:val="24"/>
          <w:szCs w:val="24"/>
        </w:rPr>
        <w:t xml:space="preserve">, vedoucí stratéžky pro globální trhy, </w:t>
      </w:r>
      <w:proofErr w:type="spellStart"/>
      <w:r w:rsidRPr="001F6A31">
        <w:rPr>
          <w:rFonts w:ascii="Invesco Interstate Bold" w:hAnsi="Invesco Interstate Bold"/>
          <w:b/>
          <w:bCs/>
          <w:sz w:val="24"/>
          <w:szCs w:val="24"/>
        </w:rPr>
        <w:t>Invesco</w:t>
      </w:r>
      <w:proofErr w:type="spellEnd"/>
      <w:r w:rsidRPr="001F6A31">
        <w:rPr>
          <w:rFonts w:ascii="Invesco Interstate Bold" w:hAnsi="Invesco Interstate Bold"/>
          <w:b/>
          <w:bCs/>
          <w:sz w:val="24"/>
          <w:szCs w:val="24"/>
        </w:rPr>
        <w:t xml:space="preserve"> Ltd.</w:t>
      </w:r>
    </w:p>
    <w:p w14:paraId="022216AC" w14:textId="2EA869F9" w:rsidR="00170959" w:rsidRDefault="00AA07C0" w:rsidP="00416396">
      <w:pPr>
        <w:spacing w:before="100" w:beforeAutospacing="1" w:afterAutospacing="1" w:line="276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Vstupujeme do druhé poloviny letošního roku a je čas podělit se o pololetní výhled společnosti </w:t>
      </w: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Invesco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. Žijeme nyní ve výjimečné době, mnoho centrálních bank vyspělých ekonomik se </w:t>
      </w:r>
      <w:r w:rsidR="00B136F0">
        <w:rPr>
          <w:rFonts w:ascii="Invesco Interstate Bold" w:hAnsi="Invesco Interstate Bold"/>
          <w:b/>
          <w:bCs/>
          <w:sz w:val="24"/>
          <w:szCs w:val="24"/>
        </w:rPr>
        <w:t>stále</w:t>
      </w:r>
      <w:r>
        <w:rPr>
          <w:rFonts w:ascii="Invesco Interstate Bold" w:hAnsi="Invesco Interstate Bold"/>
          <w:b/>
          <w:bCs/>
          <w:sz w:val="24"/>
          <w:szCs w:val="24"/>
        </w:rPr>
        <w:t xml:space="preserve"> soustředí na omezení nejhorší inflace za poslední desetiletí. Vyvinul se tlak na snižování inflace, ale zároveň to přineslo </w:t>
      </w:r>
      <w:r w:rsidR="00B136F0">
        <w:rPr>
          <w:rFonts w:ascii="Invesco Interstate Bold" w:hAnsi="Invesco Interstate Bold"/>
          <w:b/>
          <w:bCs/>
          <w:sz w:val="24"/>
          <w:szCs w:val="24"/>
        </w:rPr>
        <w:t>výrazné</w:t>
      </w:r>
      <w:r>
        <w:rPr>
          <w:rFonts w:ascii="Invesco Interstate Bold" w:hAnsi="Invesco Interstate Bold"/>
          <w:b/>
          <w:bCs/>
          <w:sz w:val="24"/>
          <w:szCs w:val="24"/>
        </w:rPr>
        <w:t xml:space="preserve"> zpomalení globálního růstu a některé </w:t>
      </w:r>
      <w:r w:rsidR="00B136F0">
        <w:rPr>
          <w:rFonts w:ascii="Invesco Interstate Bold" w:hAnsi="Invesco Interstate Bold"/>
          <w:b/>
          <w:bCs/>
          <w:sz w:val="24"/>
          <w:szCs w:val="24"/>
        </w:rPr>
        <w:t>finanční problémy</w:t>
      </w:r>
      <w:r>
        <w:rPr>
          <w:rFonts w:ascii="Invesco Interstate Bold" w:hAnsi="Invesco Interstate Bold"/>
          <w:b/>
          <w:bCs/>
          <w:sz w:val="24"/>
          <w:szCs w:val="24"/>
        </w:rPr>
        <w:t>, včetně krachů několika amerických regionálních bank. Na tomto pozadí však vidíme odolnost mnoha ekonomik, zejména v oblasti služeb.</w:t>
      </w:r>
    </w:p>
    <w:p w14:paraId="1D2CD44A" w14:textId="174C127D" w:rsidR="00916408" w:rsidRPr="00ED273B" w:rsidRDefault="00AA07C0" w:rsidP="006500BB">
      <w:p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Základní scénář: Hrbolaté přistání</w:t>
      </w:r>
    </w:p>
    <w:p w14:paraId="38CED61F" w14:textId="77777777" w:rsidR="00AA07C0" w:rsidRPr="00AA07C0" w:rsidRDefault="00AA07C0" w:rsidP="00431818">
      <w:pPr>
        <w:shd w:val="clear" w:color="auto" w:fill="FFFFFF"/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AA07C0">
        <w:rPr>
          <w:rFonts w:ascii="Invesco Interstate Light" w:eastAsiaTheme="minorEastAsia" w:hAnsi="Invesco Interstate Light"/>
          <w:sz w:val="22"/>
          <w:szCs w:val="22"/>
        </w:rPr>
        <w:t>Náš základní scénář předpokládá relativně krátké a mělké zpomalení ekonomiky v souvislosti s pokračujícím mírným růstem inflace a blížícím se koncem zpřísňování měnové politiky.</w:t>
      </w:r>
    </w:p>
    <w:p w14:paraId="3DB29210" w14:textId="70D6B38F" w:rsidR="00ED273B" w:rsidRDefault="00AA07C0" w:rsidP="00431818">
      <w:pPr>
        <w:pStyle w:val="Odstavecseseznamem"/>
        <w:numPr>
          <w:ilvl w:val="0"/>
          <w:numId w:val="28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</w:rPr>
      </w:pPr>
      <w:r>
        <w:rPr>
          <w:rFonts w:ascii="Invesco Interstate Light" w:hAnsi="Invesco Interstate Light"/>
        </w:rPr>
        <w:t xml:space="preserve">Spojené státy. Pořád se domníváme, že Spojené státy se pravděpodobně vyhnou rozsáhlé recesi. Namísto toho očekáváme určité oslabení ve druhé polovině letošního roku, protože zástupci </w:t>
      </w:r>
      <w:proofErr w:type="spellStart"/>
      <w:r>
        <w:rPr>
          <w:rFonts w:ascii="Invesco Interstate Light" w:hAnsi="Invesco Interstate Light"/>
        </w:rPr>
        <w:t>Fedu</w:t>
      </w:r>
      <w:proofErr w:type="spellEnd"/>
      <w:r>
        <w:rPr>
          <w:rFonts w:ascii="Invesco Interstate Light" w:hAnsi="Invesco Interstate Light"/>
        </w:rPr>
        <w:t xml:space="preserve"> zajistí hrbolaté přistání. Domníváme se, že v USA zvyšování sazeb končí a inflace bude nadále výrazně klesat, i když nedokonale. Se vstupem do roku 2024 očekáváme pozitivnější výhled růstu a oživení americké ekonomiky.</w:t>
      </w:r>
    </w:p>
    <w:p w14:paraId="3C49802A" w14:textId="3AADADBD" w:rsidR="00AA07C0" w:rsidRDefault="00AA07C0" w:rsidP="00431818">
      <w:pPr>
        <w:pStyle w:val="Odstavecseseznamem"/>
        <w:numPr>
          <w:ilvl w:val="0"/>
          <w:numId w:val="28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</w:rPr>
      </w:pPr>
      <w:r>
        <w:rPr>
          <w:rFonts w:ascii="Invesco Interstate Light" w:hAnsi="Invesco Interstate Light"/>
        </w:rPr>
        <w:t xml:space="preserve">Eurozóna a Velká Británie. </w:t>
      </w:r>
      <w:r w:rsidR="00001C6F">
        <w:rPr>
          <w:rFonts w:ascii="Invesco Interstate Light" w:hAnsi="Invesco Interstate Light"/>
        </w:rPr>
        <w:t>Eurozóna a Spojené království budou podle našeho názoru pravděpodobně následovat podobný model jako USA, ale se zpožděním. V roce 2023 pomáhaly udržet dynamiku evropské ekonomiky různé síly, avšak očekáváme, že zpřísnění finančních podmínek bude s postupem času působit na nárůst úvěrů. To pomůže snížit inflační tlaky, ale také to způsobí výrazné zpomalení ekonomiky.</w:t>
      </w:r>
    </w:p>
    <w:p w14:paraId="726B1FEA" w14:textId="2C88C0DD" w:rsidR="00001C6F" w:rsidRDefault="00001C6F" w:rsidP="00431818">
      <w:pPr>
        <w:pStyle w:val="Odstavecseseznamem"/>
        <w:numPr>
          <w:ilvl w:val="0"/>
          <w:numId w:val="28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</w:rPr>
      </w:pPr>
      <w:r>
        <w:rPr>
          <w:rFonts w:ascii="Invesco Interstate Light" w:hAnsi="Invesco Interstate Light"/>
        </w:rPr>
        <w:t xml:space="preserve">Čína. Na rozdíl od mnoha významných rozvinutých tržních ekonomik se Čína nachází ve výrazně odlišné fázi svého cyklu </w:t>
      </w:r>
      <w:r w:rsidRPr="0011310F">
        <w:rPr>
          <w:rFonts w:ascii="Invesco Interstate Light" w:hAnsi="Invesco Interstate Light"/>
        </w:rPr>
        <w:t>–</w:t>
      </w:r>
      <w:r>
        <w:rPr>
          <w:rFonts w:ascii="Invesco Interstate Light" w:hAnsi="Invesco Interstate Light"/>
        </w:rPr>
        <w:t xml:space="preserve"> v jakémsi „kostrbatém rozjezdu“. Uvolnění restrikcí covid-19 způsobilo významné, i když nerovnoměrné oživení. Znovuotevření do značné míry prospívá té části ekonomiky, která se zabývá službami, nicméně zpomalení tempa růstu v celosvětovém měřítku znamená slabší výrobní aktivitu, než v jakou se vkládala naděje. Čína přesto zůstává světlým bodem s utlumenou inflací a silným růstovým výhledem. Očekáváme pokračující akomodaci ze strany Čínské lidové banky a určité fiskální stimuly.</w:t>
      </w:r>
    </w:p>
    <w:p w14:paraId="33D014CE" w14:textId="105765A8" w:rsidR="00ED273B" w:rsidRPr="00ED273B" w:rsidRDefault="00001C6F" w:rsidP="00431818">
      <w:pPr>
        <w:spacing w:before="100" w:beforeAutospacing="1" w:after="100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>Celkově se tedy domníváme, že se nacházíme na politickém vrcholu, že probíhá dezinflace a že dochází k relativně krátkému zpomalení globální ekonomiky, ale očekáváme, že trhy se brzy ohlédnou za touto epizodou a začnou diskontovat budoucí ekonomické oživení.</w:t>
      </w:r>
    </w:p>
    <w:p w14:paraId="53C3AA54" w14:textId="00D6186E" w:rsidR="00ED273B" w:rsidRPr="00ED273B" w:rsidRDefault="00DE17D1" w:rsidP="00431818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Důsledky pro trhy. Tento scénář nazýváme hrbolatým přistáním, protože by nadále docházelo k určitým hospodářským škodám </w:t>
      </w:r>
      <w:r w:rsidRPr="0011310F">
        <w:rPr>
          <w:rFonts w:ascii="Invesco Interstate Light" w:eastAsiaTheme="minorEastAsia" w:hAnsi="Invesco Interstate Light"/>
          <w:sz w:val="22"/>
          <w:szCs w:val="22"/>
        </w:rPr>
        <w:t>–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 pro některé země výraznějším než pro jiné. V tomto prostředí očekáváme </w:t>
      </w:r>
      <w:r>
        <w:rPr>
          <w:rFonts w:ascii="Invesco Interstate Light" w:eastAsiaTheme="minorEastAsia" w:hAnsi="Invesco Interstate Light"/>
          <w:sz w:val="22"/>
          <w:szCs w:val="22"/>
        </w:rPr>
        <w:lastRenderedPageBreak/>
        <w:t>v krátkodobém horizontu lepší výkonnost těch trochu defenzivních tříd aktiv, jako jsou kvalitní podnikové dluhopisy a strukturované úvěry, a také růstových a kvalitních akcií, zejména technologií, spotřebních výrobků a služeb. Vzhledem k našemu výhledu, kdy očekáváme růst Číny a dalších asijských zemí upřednostňujeme také asijské akcie.</w:t>
      </w:r>
    </w:p>
    <w:p w14:paraId="11F3DF5E" w14:textId="0A678B2F" w:rsidR="00175CC2" w:rsidRPr="004E3E12" w:rsidRDefault="00DE17D1" w:rsidP="00175CC2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Nepříznivý scénář: Tvrdé přistání</w:t>
      </w:r>
    </w:p>
    <w:p w14:paraId="3035D4E0" w14:textId="70E5B875" w:rsidR="00FB50C9" w:rsidRPr="00FB50C9" w:rsidRDefault="00DE17D1" w:rsidP="00431818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Domníváme se, že existuje možnost nepříznivého scénáře </w:t>
      </w:r>
      <w:r w:rsidRPr="0011310F">
        <w:rPr>
          <w:rFonts w:ascii="Invesco Interstate Light" w:eastAsiaTheme="minorEastAsia" w:hAnsi="Invesco Interstate Light"/>
          <w:sz w:val="22"/>
          <w:szCs w:val="22"/>
        </w:rPr>
        <w:t>–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 „tvrdého přistání“ </w:t>
      </w:r>
      <w:r w:rsidRPr="0011310F">
        <w:rPr>
          <w:rFonts w:ascii="Invesco Interstate Light" w:eastAsiaTheme="minorEastAsia" w:hAnsi="Invesco Interstate Light"/>
          <w:sz w:val="22"/>
          <w:szCs w:val="22"/>
        </w:rPr>
        <w:t>–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 při kterém bude globální růst zasažen silněji, počínaje recesí v USA, která se kaskádovitě rozšíří do ostatních ekonomik.</w:t>
      </w:r>
    </w:p>
    <w:p w14:paraId="21F6B3C2" w14:textId="77777777" w:rsidR="00DE17D1" w:rsidRPr="00DE17D1" w:rsidRDefault="00DE17D1" w:rsidP="00431818">
      <w:pPr>
        <w:spacing w:before="100" w:beforeAutospacing="1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DE17D1">
        <w:rPr>
          <w:rFonts w:ascii="Invesco Interstate Light" w:eastAsiaTheme="minorEastAsia" w:hAnsi="Invesco Interstate Light"/>
          <w:sz w:val="22"/>
          <w:szCs w:val="22"/>
        </w:rPr>
        <w:t>Důsledky pro trhy. Předpokládáme, že v tomto prostředí by se dařilo velmi defenzivním třídám aktiv. Patří sem hotovost, státní dluhopisy s dlouhou dobou splatnosti a defenzivní akcie, jako jsou akcie spotřebního zboží a zdravotnictví. Předpokládáme, že v tomto prostředí se bude dařit také zlatu.</w:t>
      </w:r>
    </w:p>
    <w:p w14:paraId="31C22B3E" w14:textId="2F75C478" w:rsidR="005B47D2" w:rsidRDefault="00DE17D1" w:rsidP="000A0813">
      <w:p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Příznivý scénář: Hladké přistání</w:t>
      </w:r>
    </w:p>
    <w:p w14:paraId="67AAE8A5" w14:textId="1D7477DF" w:rsidR="00FB50C9" w:rsidRPr="00FB50C9" w:rsidRDefault="00DE17D1" w:rsidP="00416396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Domníváme se, že existuje také možnost příznivého scénáře </w:t>
      </w:r>
      <w:r w:rsidRPr="0011310F">
        <w:rPr>
          <w:rFonts w:ascii="Invesco Interstate Light" w:eastAsiaTheme="minorEastAsia" w:hAnsi="Invesco Interstate Light"/>
          <w:sz w:val="22"/>
          <w:szCs w:val="22"/>
        </w:rPr>
        <w:t>–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 „hladkého přistání“ </w:t>
      </w:r>
      <w:r w:rsidRPr="0011310F">
        <w:rPr>
          <w:rFonts w:ascii="Invesco Interstate Light" w:eastAsiaTheme="minorEastAsia" w:hAnsi="Invesco Interstate Light"/>
          <w:sz w:val="22"/>
          <w:szCs w:val="22"/>
        </w:rPr>
        <w:t>–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 kdy se inflace zmírní rychleji, měnová politika ovlivní růst méně, než se očekávalo, a globální ekonomika přežije relativně bez úhony.</w:t>
      </w:r>
    </w:p>
    <w:p w14:paraId="03F90FEC" w14:textId="376CBF8B" w:rsidR="00FB50C9" w:rsidRPr="00FB50C9" w:rsidRDefault="00DE17D1" w:rsidP="00416396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>Důsledky pro trhy. Předpokládáme, že v tomto scénáři by se dařilo rizikovějším třídám aktiv, včetně úvěrů s vysokým výnosem</w:t>
      </w:r>
      <w:r w:rsidR="00431818">
        <w:rPr>
          <w:rFonts w:ascii="Invesco Interstate Light" w:eastAsiaTheme="minorEastAsia" w:hAnsi="Invesco Interstate Light"/>
          <w:sz w:val="22"/>
          <w:szCs w:val="22"/>
        </w:rPr>
        <w:t>, evropských a rozvíjejících se trhů, cyklických akcií a akcií s menší kapitalizací a průmyslových komodit.</w:t>
      </w:r>
    </w:p>
    <w:p w14:paraId="6D5FB68C" w14:textId="251D2150" w:rsidR="005B47D2" w:rsidRPr="004E3E12" w:rsidRDefault="00431818" w:rsidP="005B47D2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Závěr</w:t>
      </w:r>
    </w:p>
    <w:p w14:paraId="7109528A" w14:textId="7C5E630F" w:rsidR="00FB50C9" w:rsidRPr="00431818" w:rsidRDefault="00431818" w:rsidP="00416396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31818">
        <w:rPr>
          <w:rFonts w:ascii="Invesco Interstate Light" w:eastAsiaTheme="minorEastAsia" w:hAnsi="Invesco Interstate Light"/>
          <w:sz w:val="22"/>
          <w:szCs w:val="22"/>
        </w:rPr>
        <w:t xml:space="preserve">V budoucnu nadále vidíme jako nejpravděpodobnější scénář nerovné přistání. Agresivní utahování měnové politiky centrálními bankami však s sebou nese značná rizika. Uvědomujeme si, že existuje možnost většího počtu finančních nehod a že může dojít ke škodám u zástav, protože je například zvýšené napětí v sektoru komerčních nemovitostí. Kromě toho nadále existují významná geopolitická rizika. Zůstaneme ostražití, budeme pozorně sledovat ekonomická data a náš výhled znovu podle potřeby aktualizujeme. </w:t>
      </w:r>
    </w:p>
    <w:p w14:paraId="7619DFFC" w14:textId="33728C67" w:rsidR="000061D4" w:rsidRPr="004E3E12" w:rsidRDefault="00431818" w:rsidP="000061D4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Poznámka k Rusku</w:t>
      </w:r>
    </w:p>
    <w:p w14:paraId="0E2C4CEF" w14:textId="77777777" w:rsidR="00431818" w:rsidRPr="00431818" w:rsidRDefault="00431818" w:rsidP="00416396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31818">
        <w:rPr>
          <w:rFonts w:ascii="Invesco Interstate Light" w:eastAsiaTheme="minorEastAsia" w:hAnsi="Invesco Interstate Light"/>
          <w:sz w:val="22"/>
          <w:szCs w:val="22"/>
        </w:rPr>
        <w:t>Jak jsme uvedli výše, pozorně sledujeme geopolitická rizika a tato rizika byla o uplynulém víkendu v centru pozornosti v souvislosti se zprávami o vojenské vzpouře v Rusku (která byla brzy zastavena). Neočekáváme, že by tato situace měla nějaký zásadní přímý nebo bezprostřední vliv na světovou ekonomiku nebo trhy, ale budeme ji nadále pozorně sledovat vzhledem k tomu, že má potenciální dopad na ceny některých aktiv, zejména některých komodit. Myslíme si, že tato rizika stojí za to mít na paměti, ale zatím bychom kvůli nim neupřednostňovali úpravu alokace portfolia.</w:t>
      </w:r>
    </w:p>
    <w:p w14:paraId="41174B03" w14:textId="77777777" w:rsidR="00431818" w:rsidRPr="00431818" w:rsidRDefault="00431818" w:rsidP="00416396">
      <w:pPr>
        <w:spacing w:before="100" w:beforeAutospacing="1" w:after="100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431818">
        <w:rPr>
          <w:rFonts w:ascii="Invesco Interstate Light" w:eastAsiaTheme="minorEastAsia" w:hAnsi="Invesco Interstate Light"/>
          <w:sz w:val="22"/>
          <w:szCs w:val="22"/>
        </w:rPr>
        <w:lastRenderedPageBreak/>
        <w:t>V tuto chvíli nemáme dostatek informací, abychom věděli, jaká bude budoucnost. Mezi možnosti, které je třeba sledovat:</w:t>
      </w:r>
    </w:p>
    <w:p w14:paraId="14E61A24" w14:textId="7BC9EB83" w:rsidR="00EF3F50" w:rsidRDefault="00431818" w:rsidP="00416396">
      <w:pPr>
        <w:pStyle w:val="Odstavecseseznamem"/>
        <w:numPr>
          <w:ilvl w:val="0"/>
          <w:numId w:val="29"/>
        </w:numPr>
        <w:spacing w:before="100" w:beforeAutospacing="1" w:afterAutospacing="1" w:line="276" w:lineRule="auto"/>
        <w:jc w:val="both"/>
        <w:rPr>
          <w:rFonts w:ascii="Invesco Interstate Light" w:hAnsi="Invesco Interstate Light"/>
        </w:rPr>
      </w:pPr>
      <w:r>
        <w:rPr>
          <w:rFonts w:ascii="Invesco Interstate Light" w:hAnsi="Invesco Interstate Light"/>
        </w:rPr>
        <w:t>Existuje určitá pravděpodobnost, že Rusko neobnoví dohody o vývozu obilí, což by mohlo způsobit určitou volatilitu cen některých komodit.</w:t>
      </w:r>
    </w:p>
    <w:p w14:paraId="65A6CC7E" w14:textId="7516859A" w:rsidR="00431818" w:rsidRDefault="00431818" w:rsidP="00416396">
      <w:pPr>
        <w:pStyle w:val="Odstavecseseznamem"/>
        <w:numPr>
          <w:ilvl w:val="0"/>
          <w:numId w:val="29"/>
        </w:numPr>
        <w:spacing w:before="100" w:beforeAutospacing="1" w:afterAutospacing="1" w:line="276" w:lineRule="auto"/>
        <w:jc w:val="both"/>
        <w:rPr>
          <w:rFonts w:ascii="Invesco Interstate Light" w:hAnsi="Invesco Interstate Light"/>
        </w:rPr>
      </w:pPr>
      <w:r>
        <w:rPr>
          <w:rFonts w:ascii="Invesco Interstate Light" w:hAnsi="Invesco Interstate Light"/>
        </w:rPr>
        <w:t>Rusko by se mohlo pokusit prodat více ropy v Asii, aby zaplatilo domácí nebo vojenské priority, a asijští kupci se mohou pokusit o tvrdší dohodu vzhledem k nestabilitě.</w:t>
      </w:r>
    </w:p>
    <w:p w14:paraId="17BE05E7" w14:textId="53116603" w:rsidR="00431818" w:rsidRDefault="00431818" w:rsidP="00416396">
      <w:pPr>
        <w:pStyle w:val="Odstavecseseznamem"/>
        <w:numPr>
          <w:ilvl w:val="0"/>
          <w:numId w:val="29"/>
        </w:numPr>
        <w:spacing w:before="100" w:beforeAutospacing="1" w:afterAutospacing="1" w:line="276" w:lineRule="auto"/>
        <w:jc w:val="both"/>
        <w:rPr>
          <w:rFonts w:ascii="Invesco Interstate Light" w:hAnsi="Invesco Interstate Light"/>
        </w:rPr>
      </w:pPr>
      <w:r>
        <w:rPr>
          <w:rFonts w:ascii="Invesco Interstate Light" w:hAnsi="Invesco Interstate Light"/>
        </w:rPr>
        <w:t>Je možné, že nestabilita v Rusku by se mohla promítnout do dřívějšího ukončení války, což by mohlo být pozitivní pro evropská riziková aktiva.</w:t>
      </w:r>
    </w:p>
    <w:p w14:paraId="13BFC893" w14:textId="7017D600" w:rsidR="00431818" w:rsidRDefault="00431818" w:rsidP="00416396">
      <w:pPr>
        <w:pStyle w:val="Odstavecseseznamem"/>
        <w:numPr>
          <w:ilvl w:val="0"/>
          <w:numId w:val="29"/>
        </w:numPr>
        <w:spacing w:before="100" w:beforeAutospacing="1" w:afterAutospacing="1" w:line="276" w:lineRule="auto"/>
        <w:jc w:val="both"/>
        <w:rPr>
          <w:rFonts w:ascii="Invesco Interstate Light" w:hAnsi="Invesco Interstate Light"/>
        </w:rPr>
      </w:pPr>
      <w:r>
        <w:rPr>
          <w:rFonts w:ascii="Invesco Interstate Light" w:hAnsi="Invesco Interstate Light"/>
        </w:rPr>
        <w:t>Nebo by nestabilita v Rusku mohla zesílit, což by zvýšilo obavy z geopolitického rizika a zvýšilo by cenu „bezpečných přístavů“ aktiv, jako jsou zlato a americké státní dluhopisy.</w:t>
      </w:r>
    </w:p>
    <w:p w14:paraId="3EA1E4C9" w14:textId="71E9DD9F" w:rsidR="00A624F1" w:rsidRDefault="00431818" w:rsidP="00416396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31818">
        <w:rPr>
          <w:rFonts w:ascii="Invesco Interstate Light" w:eastAsiaTheme="minorEastAsia" w:hAnsi="Invesco Interstate Light"/>
          <w:sz w:val="22"/>
          <w:szCs w:val="22"/>
        </w:rPr>
        <w:t>Situaci budeme nadále pozorně sledovat a pravidelně budeme aktualizovat informace.</w:t>
      </w:r>
    </w:p>
    <w:p w14:paraId="2B06AEB4" w14:textId="77777777" w:rsidR="00A624F1" w:rsidRPr="000061D4" w:rsidRDefault="00A624F1" w:rsidP="00A624F1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C334F37" w14:textId="2ACEA8F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79AC42E6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0FAA187D" w14:textId="6E46476F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5304805C" w14:textId="77777777" w:rsidR="00D80D6F" w:rsidRDefault="00D80D6F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BF77D56" w14:textId="5CB2D0E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0BFCDFE" w14:textId="31E2CEBE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4E7D96B" w14:textId="4FE2B68B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lastRenderedPageBreak/>
        <w:t>Pro více informací kontaktujte:</w:t>
      </w:r>
    </w:p>
    <w:p w14:paraId="6F193651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6694DBAE" w14:textId="307D8B25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D735BC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0ECA" w14:textId="77777777" w:rsidR="001704B1" w:rsidRDefault="001704B1">
      <w:r>
        <w:separator/>
      </w:r>
    </w:p>
  </w:endnote>
  <w:endnote w:type="continuationSeparator" w:id="0">
    <w:p w14:paraId="432C7C0C" w14:textId="77777777" w:rsidR="001704B1" w:rsidRDefault="001704B1">
      <w:r>
        <w:continuationSeparator/>
      </w:r>
    </w:p>
  </w:endnote>
  <w:endnote w:type="continuationNotice" w:id="1">
    <w:p w14:paraId="3356794A" w14:textId="77777777" w:rsidR="001704B1" w:rsidRDefault="001704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51CF" w14:textId="77777777" w:rsidR="001704B1" w:rsidRDefault="001704B1">
      <w:r>
        <w:separator/>
      </w:r>
    </w:p>
  </w:footnote>
  <w:footnote w:type="continuationSeparator" w:id="0">
    <w:p w14:paraId="2E451193" w14:textId="77777777" w:rsidR="001704B1" w:rsidRDefault="001704B1">
      <w:r>
        <w:continuationSeparator/>
      </w:r>
    </w:p>
  </w:footnote>
  <w:footnote w:type="continuationNotice" w:id="1">
    <w:p w14:paraId="2240481C" w14:textId="77777777" w:rsidR="001704B1" w:rsidRDefault="001704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>Press release</w:t>
    </w:r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451FCE94" w:rsidR="00702C33" w:rsidRPr="000730A6" w:rsidRDefault="00ED273B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2</w:t>
    </w:r>
    <w:r w:rsidR="00416396">
      <w:rPr>
        <w:color w:val="000000"/>
        <w:sz w:val="28"/>
        <w:szCs w:val="28"/>
      </w:rPr>
      <w:t>9</w:t>
    </w:r>
    <w:r w:rsidR="0083625E">
      <w:rPr>
        <w:color w:val="000000"/>
        <w:sz w:val="28"/>
        <w:szCs w:val="28"/>
      </w:rPr>
      <w:t>.0</w:t>
    </w:r>
    <w:r w:rsidR="009B5A79">
      <w:rPr>
        <w:color w:val="000000"/>
        <w:sz w:val="28"/>
        <w:szCs w:val="28"/>
      </w:rPr>
      <w:t>6</w:t>
    </w:r>
    <w:r w:rsidR="0083625E">
      <w:rPr>
        <w:color w:val="000000"/>
        <w:sz w:val="28"/>
        <w:szCs w:val="28"/>
      </w:rPr>
      <w:t>.2023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6D70"/>
    <w:multiLevelType w:val="multilevel"/>
    <w:tmpl w:val="11820CCE"/>
    <w:numStyleLink w:val="FormatvorlageAufgezhlt"/>
  </w:abstractNum>
  <w:abstractNum w:abstractNumId="10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30B23"/>
    <w:multiLevelType w:val="multilevel"/>
    <w:tmpl w:val="11820CCE"/>
    <w:numStyleLink w:val="FormatvorlageAufgezhlt"/>
  </w:abstractNum>
  <w:abstractNum w:abstractNumId="14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403C3"/>
    <w:multiLevelType w:val="multilevel"/>
    <w:tmpl w:val="11820CCE"/>
    <w:numStyleLink w:val="FormatvorlageAufgezhlt"/>
  </w:abstractNum>
  <w:abstractNum w:abstractNumId="20" w15:restartNumberingAfterBreak="0">
    <w:nsid w:val="6C6C4721"/>
    <w:multiLevelType w:val="multilevel"/>
    <w:tmpl w:val="11820CCE"/>
    <w:numStyleLink w:val="FormatvorlageAufgezhlt"/>
  </w:abstractNum>
  <w:abstractNum w:abstractNumId="21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5380B"/>
    <w:multiLevelType w:val="multilevel"/>
    <w:tmpl w:val="11820CCE"/>
    <w:numStyleLink w:val="FormatvorlageAufgezhlt"/>
  </w:abstractNum>
  <w:abstractNum w:abstractNumId="23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10"/>
  </w:num>
  <w:num w:numId="3" w16cid:durableId="1282105589">
    <w:abstractNumId w:val="17"/>
  </w:num>
  <w:num w:numId="4" w16cid:durableId="1617441895">
    <w:abstractNumId w:val="11"/>
  </w:num>
  <w:num w:numId="5" w16cid:durableId="1267425896">
    <w:abstractNumId w:val="13"/>
  </w:num>
  <w:num w:numId="6" w16cid:durableId="1792238606">
    <w:abstractNumId w:val="19"/>
  </w:num>
  <w:num w:numId="7" w16cid:durableId="190919629">
    <w:abstractNumId w:val="20"/>
  </w:num>
  <w:num w:numId="8" w16cid:durableId="2083285618">
    <w:abstractNumId w:val="1"/>
  </w:num>
  <w:num w:numId="9" w16cid:durableId="1653213567">
    <w:abstractNumId w:val="22"/>
  </w:num>
  <w:num w:numId="10" w16cid:durableId="849561851">
    <w:abstractNumId w:val="9"/>
  </w:num>
  <w:num w:numId="11" w16cid:durableId="1899129255">
    <w:abstractNumId w:val="4"/>
  </w:num>
  <w:num w:numId="12" w16cid:durableId="1348407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27"/>
  </w:num>
  <w:num w:numId="14" w16cid:durableId="2009676695">
    <w:abstractNumId w:val="28"/>
  </w:num>
  <w:num w:numId="15" w16cid:durableId="1629623239">
    <w:abstractNumId w:val="16"/>
  </w:num>
  <w:num w:numId="16" w16cid:durableId="1975720235">
    <w:abstractNumId w:val="6"/>
  </w:num>
  <w:num w:numId="17" w16cid:durableId="103501300">
    <w:abstractNumId w:val="2"/>
  </w:num>
  <w:num w:numId="18" w16cid:durableId="1434014312">
    <w:abstractNumId w:val="18"/>
  </w:num>
  <w:num w:numId="19" w16cid:durableId="832065860">
    <w:abstractNumId w:val="21"/>
  </w:num>
  <w:num w:numId="20" w16cid:durableId="667943464">
    <w:abstractNumId w:val="25"/>
  </w:num>
  <w:num w:numId="21" w16cid:durableId="225343112">
    <w:abstractNumId w:val="24"/>
  </w:num>
  <w:num w:numId="22" w16cid:durableId="1319532336">
    <w:abstractNumId w:val="8"/>
  </w:num>
  <w:num w:numId="23" w16cid:durableId="1341154147">
    <w:abstractNumId w:val="15"/>
  </w:num>
  <w:num w:numId="24" w16cid:durableId="796413596">
    <w:abstractNumId w:val="12"/>
  </w:num>
  <w:num w:numId="25" w16cid:durableId="2010979537">
    <w:abstractNumId w:val="26"/>
  </w:num>
  <w:num w:numId="26" w16cid:durableId="951936802">
    <w:abstractNumId w:val="14"/>
  </w:num>
  <w:num w:numId="27" w16cid:durableId="1672954226">
    <w:abstractNumId w:val="3"/>
  </w:num>
  <w:num w:numId="28" w16cid:durableId="953906591">
    <w:abstractNumId w:val="5"/>
  </w:num>
  <w:num w:numId="29" w16cid:durableId="9236060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64C2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114"/>
    <w:rsid w:val="0017430A"/>
    <w:rsid w:val="001744FC"/>
    <w:rsid w:val="001745F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7C0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17D1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123C"/>
    <w:rsid w:val="00E51451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19F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6530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2023-06-29T09:37:00Z</dcterms:created>
  <dcterms:modified xsi:type="dcterms:W3CDTF">2023-06-29T09:37:00Z</dcterms:modified>
</cp:coreProperties>
</file>