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9D89" w14:textId="77777777" w:rsidR="005C0A15" w:rsidRDefault="005C0A15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</w:p>
    <w:p w14:paraId="7ACA614A" w14:textId="6A7F40A3" w:rsidR="00E66388" w:rsidRDefault="00B65FA4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proofErr w:type="spellStart"/>
      <w:r w:rsidR="00B65FF5">
        <w:rPr>
          <w:rFonts w:ascii="Invesco Interstate Bold" w:hAnsi="Invesco Interstate Bold"/>
          <w:b/>
          <w:bCs/>
          <w:sz w:val="28"/>
          <w:szCs w:val="28"/>
        </w:rPr>
        <w:t>ChatGPT</w:t>
      </w:r>
      <w:proofErr w:type="spellEnd"/>
      <w:r w:rsidR="00B65FF5">
        <w:rPr>
          <w:rFonts w:ascii="Invesco Interstate Bold" w:hAnsi="Invesco Interstate Bold"/>
          <w:b/>
          <w:bCs/>
          <w:sz w:val="28"/>
          <w:szCs w:val="28"/>
        </w:rPr>
        <w:t xml:space="preserve">, umělá inteligence a </w:t>
      </w:r>
      <w:proofErr w:type="spellStart"/>
      <w:r w:rsidR="00B65FF5">
        <w:rPr>
          <w:rFonts w:ascii="Invesco Interstate Bold" w:hAnsi="Invesco Interstate Bold"/>
          <w:b/>
          <w:bCs/>
          <w:sz w:val="28"/>
          <w:szCs w:val="28"/>
        </w:rPr>
        <w:t>Metaverzum</w:t>
      </w:r>
      <w:proofErr w:type="spellEnd"/>
    </w:p>
    <w:p w14:paraId="1B0F0D03" w14:textId="57BCA074" w:rsidR="00B65FF5" w:rsidRPr="00B65FF5" w:rsidRDefault="00B65FF5" w:rsidP="00B65FF5">
      <w:pPr>
        <w:spacing w:line="276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proofErr w:type="spellStart"/>
      <w:r w:rsidRPr="00B65FF5">
        <w:rPr>
          <w:rFonts w:ascii="Invesco Interstate Bold" w:hAnsi="Invesco Interstate Bold"/>
          <w:b/>
          <w:bCs/>
          <w:sz w:val="24"/>
          <w:szCs w:val="24"/>
        </w:rPr>
        <w:t>ChatGPT</w:t>
      </w:r>
      <w:proofErr w:type="spellEnd"/>
      <w:r w:rsidRPr="00B65FF5">
        <w:rPr>
          <w:rFonts w:ascii="Invesco Interstate Bold" w:hAnsi="Invesco Interstate Bold"/>
          <w:b/>
          <w:bCs/>
          <w:sz w:val="24"/>
          <w:szCs w:val="24"/>
        </w:rPr>
        <w:t xml:space="preserve">, umělá inteligence a </w:t>
      </w:r>
      <w:proofErr w:type="spellStart"/>
      <w:r w:rsidRPr="00B65FF5">
        <w:rPr>
          <w:rFonts w:ascii="Invesco Interstate Bold" w:hAnsi="Invesco Interstate Bold"/>
          <w:b/>
          <w:bCs/>
          <w:sz w:val="24"/>
          <w:szCs w:val="24"/>
        </w:rPr>
        <w:t>Metaverzum</w:t>
      </w:r>
      <w:proofErr w:type="spellEnd"/>
      <w:r w:rsidRPr="00B65FF5">
        <w:rPr>
          <w:rFonts w:ascii="Invesco Interstate Bold" w:hAnsi="Invesco Interstate Bold"/>
          <w:b/>
          <w:bCs/>
          <w:sz w:val="24"/>
          <w:szCs w:val="24"/>
        </w:rPr>
        <w:t xml:space="preserve"> "Pokud chceme vytvořit trojrozměrný internet, pak je bezpodmínečně nutné, aby lidé, kteří se na něm podílejí, také vytvářeli obsah –</w:t>
      </w:r>
      <w:r>
        <w:rPr>
          <w:rFonts w:ascii="Tahoma" w:hAnsi="Tahoma" w:cs="Tahoma"/>
          <w:color w:val="4D5156"/>
          <w:sz w:val="21"/>
          <w:szCs w:val="21"/>
          <w:shd w:val="clear" w:color="auto" w:fill="FFFFFF"/>
        </w:rPr>
        <w:t>⁠</w:t>
      </w:r>
      <w:r w:rsidRPr="00B65FF5">
        <w:rPr>
          <w:rFonts w:ascii="Invesco Interstate Bold" w:hAnsi="Invesco Interstate Bold"/>
          <w:b/>
          <w:bCs/>
          <w:sz w:val="24"/>
          <w:szCs w:val="24"/>
        </w:rPr>
        <w:t xml:space="preserve"> a jediná naděje, že se nám to podaří, je, že nám pomůže umělá inteligence." - </w:t>
      </w:r>
      <w:proofErr w:type="spellStart"/>
      <w:r w:rsidRPr="00B65FF5">
        <w:rPr>
          <w:rFonts w:ascii="Invesco Interstate Bold" w:hAnsi="Invesco Interstate Bold"/>
          <w:b/>
          <w:bCs/>
          <w:sz w:val="24"/>
          <w:szCs w:val="24"/>
        </w:rPr>
        <w:t>Rev</w:t>
      </w:r>
      <w:proofErr w:type="spellEnd"/>
      <w:r w:rsidRPr="00B65FF5"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  <w:proofErr w:type="spellStart"/>
      <w:r w:rsidRPr="00B65FF5">
        <w:rPr>
          <w:rFonts w:ascii="Invesco Interstate Bold" w:hAnsi="Invesco Interstate Bold"/>
          <w:b/>
          <w:bCs/>
          <w:sz w:val="24"/>
          <w:szCs w:val="24"/>
        </w:rPr>
        <w:t>Lebaredian</w:t>
      </w:r>
      <w:proofErr w:type="spellEnd"/>
      <w:r w:rsidRPr="00B65FF5">
        <w:rPr>
          <w:rFonts w:ascii="Invesco Interstate Bold" w:hAnsi="Invesco Interstate Bold"/>
          <w:b/>
          <w:bCs/>
          <w:sz w:val="24"/>
          <w:szCs w:val="24"/>
        </w:rPr>
        <w:t xml:space="preserve">, viceprezident pro technologie </w:t>
      </w:r>
      <w:proofErr w:type="spellStart"/>
      <w:r w:rsidRPr="00B65FF5">
        <w:rPr>
          <w:rFonts w:ascii="Invesco Interstate Bold" w:hAnsi="Invesco Interstate Bold"/>
          <w:b/>
          <w:bCs/>
          <w:sz w:val="24"/>
          <w:szCs w:val="24"/>
        </w:rPr>
        <w:t>Omniverse</w:t>
      </w:r>
      <w:proofErr w:type="spellEnd"/>
      <w:r w:rsidRPr="00B65FF5">
        <w:rPr>
          <w:rFonts w:ascii="Invesco Interstate Bold" w:hAnsi="Invesco Interstate Bold"/>
          <w:b/>
          <w:bCs/>
          <w:sz w:val="24"/>
          <w:szCs w:val="24"/>
        </w:rPr>
        <w:t xml:space="preserve"> a simulace ve společnosti NVIDIA. </w:t>
      </w:r>
    </w:p>
    <w:p w14:paraId="0BFA8AE2" w14:textId="743F1EE9" w:rsidR="00B74187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Bold" w:hAnsi="Invesco Interstate Bold"/>
          <w:b/>
          <w:bCs/>
          <w:sz w:val="24"/>
          <w:szCs w:val="24"/>
        </w:rPr>
        <w:br/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ChatGPT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se loni stala nejrychleji aplikací, která dosáhla 100 milionů uživatelů měsíčně, čímž znovu vzbudila zájem veřejnosti o vývoj umělé inteligence (AI) a o to, jak může revolučně změnit náš online život. Umělá inteligence je jednou ze čtyř klíčových technologií, které umožňují vznik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(dalšími jsou virtuální a rozšířená realita, počítačový hardware a síťové připojení), a je tématem, kterému se významně věnuje fond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Metaverse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. </w:t>
      </w:r>
    </w:p>
    <w:p w14:paraId="28644A50" w14:textId="77777777" w:rsid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6728424" w14:textId="63ADC272" w:rsidR="00B65FF5" w:rsidRPr="004E3E12" w:rsidRDefault="00B65FF5" w:rsidP="00B65FF5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 xml:space="preserve">A proč je nedávný vývoj pro </w:t>
      </w:r>
      <w:proofErr w:type="spellStart"/>
      <w:r>
        <w:rPr>
          <w:rFonts w:ascii="Invesco Interstate Light" w:hAnsi="Invesco Interstate Light"/>
          <w:b/>
          <w:bCs/>
          <w:sz w:val="22"/>
          <w:szCs w:val="22"/>
        </w:rPr>
        <w:t>Metaverzum</w:t>
      </w:r>
      <w:proofErr w:type="spellEnd"/>
      <w:r>
        <w:rPr>
          <w:rFonts w:ascii="Invesco Interstate Light" w:hAnsi="Invesco Interstate Light"/>
          <w:b/>
          <w:bCs/>
          <w:sz w:val="22"/>
          <w:szCs w:val="22"/>
        </w:rPr>
        <w:t xml:space="preserve"> tak vzrušující?</w:t>
      </w:r>
    </w:p>
    <w:p w14:paraId="11F3DF5E" w14:textId="7C513BF2" w:rsidR="00175CC2" w:rsidRPr="00B74187" w:rsidRDefault="00175CC2" w:rsidP="00B74187">
      <w:pPr>
        <w:spacing w:line="276" w:lineRule="auto"/>
      </w:pPr>
    </w:p>
    <w:p w14:paraId="3170A4C4" w14:textId="77777777" w:rsidR="00B65FF5" w:rsidRP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„Stručně řečeno, nacházíme se v oblasti umělé inteligence v bodě zlomu. Byly spuštěny generativní modely, jako je </w:t>
      </w:r>
      <w:proofErr w:type="spellStart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>Dalle</w:t>
      </w:r>
      <w:proofErr w:type="spellEnd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-E (vytváří digitální obrazy z textových podnětů) a </w:t>
      </w:r>
      <w:proofErr w:type="spellStart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>ChatGPT</w:t>
      </w:r>
      <w:proofErr w:type="spellEnd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(vytváří dlouhý text z podnětů uživatele), které mohou změnit produktivitu těch, kteří mají za úkol vytvářet a naplňovat </w:t>
      </w:r>
      <w:proofErr w:type="gramStart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>3D</w:t>
      </w:r>
      <w:proofErr w:type="gramEnd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perzistentní virtuální světy a prostředí v reálném čase. To pravděpodobně sehraje důležitou roli i při uvolňování potenciálu obsahu generovaného uživateli,“ </w:t>
      </w:r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vysvětluje James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McDermottroe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Deputy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Fund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Manager společnosti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43FBB593" w14:textId="77777777" w:rsidR="00B74187" w:rsidRDefault="00B74187" w:rsidP="00B74187">
      <w:pPr>
        <w:spacing w:line="276" w:lineRule="auto"/>
      </w:pPr>
    </w:p>
    <w:p w14:paraId="1489E5A4" w14:textId="77777777" w:rsidR="00B65FF5" w:rsidRP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Generativní modely umělé inteligence mohou vývojářům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pomoci: mnohem rychleji psát kód, vytvářet a vykreslovat grafiku a psát příběhy postav a světů. Například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ChatGPT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dokáže na výzvu psát programy v kódech, zatímco GitHub společnosti Microsoft má funkci "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Copilot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>", která dokáže automaticky vyplnit navrhované řádky kódu. Společnost NVIDIA loni v listopadu oznámila převod textu na 3D model s názvem Magic3D, který dokáže vytvářet 3D modely z krátkých textových podnětů.</w:t>
      </w:r>
    </w:p>
    <w:p w14:paraId="32C4A76B" w14:textId="77777777" w:rsidR="000A13F4" w:rsidRDefault="000A13F4" w:rsidP="000A13F4">
      <w:pPr>
        <w:rPr>
          <w:rFonts w:ascii="Invesco Interstate Light" w:hAnsi="Invesco Interstate Light"/>
          <w:b/>
          <w:bCs/>
          <w:sz w:val="22"/>
          <w:szCs w:val="22"/>
        </w:rPr>
      </w:pPr>
    </w:p>
    <w:p w14:paraId="291D29D9" w14:textId="3CDAF032" w:rsidR="00B65FF5" w:rsidRPr="005C0A15" w:rsidRDefault="00B65FF5" w:rsidP="005C0A15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5C0A15">
        <w:rPr>
          <w:rFonts w:ascii="Invesco Interstate Light" w:hAnsi="Invesco Interstate Light"/>
          <w:sz w:val="22"/>
          <w:szCs w:val="22"/>
        </w:rPr>
        <w:t xml:space="preserve">Podobně funkce Make-A Video (Vytvořit video), kterou Meta spustila loni, dokáže vytvářet video obsah z textových a obrázkových podnětů. Možná to bude předchůdce pro vytváření pohlcující 3D grafiky z uživatelských podnětů? </w:t>
      </w:r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Mělo by to také změnit způsob, jakým se virtuální světy zaplňují.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Nehráčské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postavy (NPC) ve stávajících virtuálních světech byly vytvořeny na základě příběhu, graficky nakresleny a naprogramovány s omezeným množstvím předem nahrané řeči. Společnost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NetEase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již oznámila, že do své mobilní hry Justice Online nainstaluje první herní verzi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ChatGPT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v Číně. Zabudování umělé inteligence do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nehráčské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postavy znamená, že tyto postavy mohou volně vést dialog s hráči a na základě tohoto dialogu poskytovat logickou zpětnou vazbu, čímž se interakce stává pro uživatele poutavější. Tyto nástroje mají také potenciál výrazně urychlit a usnadnit vytváření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nehráčských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postav, což je důležitý prvek trvalých virtuálních světů.</w:t>
      </w:r>
    </w:p>
    <w:p w14:paraId="5EE7B99E" w14:textId="77777777" w:rsidR="000A13F4" w:rsidRDefault="000A13F4" w:rsidP="000A13F4"/>
    <w:p w14:paraId="0F500F2A" w14:textId="77777777" w:rsidR="00243188" w:rsidRDefault="00243188" w:rsidP="0024318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F128070" w14:textId="77777777" w:rsid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65FF5">
        <w:rPr>
          <w:rFonts w:ascii="Invesco Interstate Light" w:eastAsiaTheme="minorEastAsia" w:hAnsi="Invesco Interstate Light"/>
          <w:sz w:val="22"/>
          <w:szCs w:val="22"/>
        </w:rPr>
        <w:lastRenderedPageBreak/>
        <w:t xml:space="preserve">Uživatelé už nebudou potřebovat žádné znalosti o programování, aby mohli vytvářet nové postavy nebo zážitky. Herní společnosti nebo společnosti působící v oblasti sociálních médií v rámci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tak mohou snáze plnit virtuální světy a udržovat zájem a zapojovat uživatele, což jim umožní udržet si na své platformě a generovat další příjmy z reklamy. </w:t>
      </w:r>
    </w:p>
    <w:p w14:paraId="11C1109A" w14:textId="77777777" w:rsid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6F17033" w14:textId="0EF6DDD3" w:rsidR="00B65FF5" w:rsidRPr="004E3E12" w:rsidRDefault="00B65FF5" w:rsidP="00B65FF5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 xml:space="preserve">Nad rámec platforem: příležitosti v celém hodnotovém řetězci </w:t>
      </w:r>
      <w:proofErr w:type="spellStart"/>
      <w:r>
        <w:rPr>
          <w:rFonts w:ascii="Invesco Interstate Light" w:hAnsi="Invesco Interstate Light"/>
          <w:b/>
          <w:bCs/>
          <w:sz w:val="22"/>
          <w:szCs w:val="22"/>
        </w:rPr>
        <w:t>Metaverza</w:t>
      </w:r>
      <w:proofErr w:type="spellEnd"/>
    </w:p>
    <w:p w14:paraId="2E73AE46" w14:textId="77777777" w:rsid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D9374A5" w14:textId="085E239E" w:rsidR="00B65FF5" w:rsidRPr="00B65FF5" w:rsidRDefault="00B65FF5" w:rsidP="00B65FF5">
      <w:pPr>
        <w:spacing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B65FF5">
        <w:rPr>
          <w:rFonts w:ascii="Invesco Interstate Light" w:eastAsiaTheme="minorEastAsia" w:hAnsi="Invesco Interstate Light"/>
          <w:sz w:val="22"/>
          <w:szCs w:val="22"/>
        </w:rPr>
        <w:t>Všechny tyto modely generativní umělé inteligence jsou velmi nákladné nebo složité výpočetně. Trénování modelů a generování rychlých reakcí vyžaduje značný výpočetní výkon a čas, který se tímto výkonem stráví. To pravděpodobně povede ke zvýšení poptávky po špičkových centrálních a grafických procesorech (CPU a GPU) a paměti. Dobrou pozici by měli mít konstruktéři a výrobci čipů, stejně jako poskytovatelé cloudových služeb, kteří pronajímají výpočetní výkon pro vlastníky a provozovatele modelů AI. Potřeba přenosu těchto dat by také mohla zvýšit poptávku po spolehlivých optických a mobilních sítích – nabízených telekomunikačními operátory. Umělá inteligence otevírá příležitosti i jinde.</w:t>
      </w:r>
    </w:p>
    <w:p w14:paraId="6F03BDC0" w14:textId="77777777" w:rsid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FC34B9A" w14:textId="377AAB83" w:rsidR="00B65FF5" w:rsidRP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Jedním z důvodů, proč společnost Meta investuje značné prostředky do umělé inteligence, je vybudování nových reklamních technologii. Iniciativa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App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Tracking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Transparency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(ATT) společnosti Apple zničila přístup k datům všem společnostem, které se spoléhaly na výkonnostní marketing, a tím i jejich schopnost cílit, což dramaticky ovlivnilo příjmy z reklamy. Společnost o velikosti Mety zde pravděpodobně bude mít konkurenční výhodu vzhledem k tomu, že menší společnosti zabývající se digitální reklamou nemohou investovat tolik. Podíváme-li se na další společnosti z portfolia, AI je širokou oblastí, kde bude třeba poradit. Společnost Adobe začleňuje umělou inteligenci do svých kreativních nástrojů, čímž poskytuje extra funkcionalitu. V případě společnosti Autodesk urychluje proces CAD (počítačem podporovaného navrhování) a umožňuje uživatelům vytvářet a testovat více možností návrhů.</w:t>
      </w:r>
    </w:p>
    <w:p w14:paraId="5C443572" w14:textId="77777777" w:rsid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3643E9C" w14:textId="77777777" w:rsidR="00B65FF5" w:rsidRP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Společnostem, jako je Universal Music Group, které nyní získávají podíl z příjmů z reklamy, když je jejich hudba použita ve videích na Facebooku, Instagramu nebo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TikToku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, umožní umělá inteligence lépe sledovat, kdy se jejich skladba přehrává. </w:t>
      </w:r>
    </w:p>
    <w:p w14:paraId="0E0C92B1" w14:textId="77777777" w:rsid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43927D1" w14:textId="2D2C9A29" w:rsidR="00B65FF5" w:rsidRDefault="00B65FF5" w:rsidP="00B65FF5">
      <w:pPr>
        <w:spacing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Problémy/obavy</w:t>
      </w:r>
    </w:p>
    <w:p w14:paraId="0E79B06B" w14:textId="77777777" w:rsidR="00B65FF5" w:rsidRDefault="00B65FF5" w:rsidP="00B65FF5">
      <w:pPr>
        <w:spacing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30ED6EA8" w14:textId="77777777" w:rsidR="00B65FF5" w:rsidRP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Zde zmíněné generativní modely AI jsou teprve první možností, která má být nabídnuta veřejnosti, takže ještě mají nedostatky. Například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ChatGPT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neobsahuje informace o zdroji a již bylo nahlášeno, že uživatelům poskytoval nepravdivé informace. Nefiltrovaná umělá inteligence může generovat zkreslené názory, což zdůrazňuje potřebu aktivního monitorování, a zároveň je pravděpodobné, že data budou zkreslená, což může přinést zbytečné náklady při neúspěchu.</w:t>
      </w:r>
    </w:p>
    <w:p w14:paraId="3D779DCC" w14:textId="77777777" w:rsidR="00B65FF5" w:rsidRPr="00B65FF5" w:rsidRDefault="00B65FF5" w:rsidP="005C0A1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2DFA73C" w14:textId="77777777" w:rsidR="005C0A15" w:rsidRDefault="00B65FF5" w:rsidP="005C0A1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5C0A15">
        <w:rPr>
          <w:rFonts w:ascii="Invesco Interstate Light" w:eastAsiaTheme="minorEastAsia" w:hAnsi="Invesco Interstate Light"/>
          <w:sz w:val="22"/>
          <w:szCs w:val="22"/>
        </w:rPr>
        <w:t>„Souhlas je problém.“</w:t>
      </w:r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Když lidé mluví s umělou inteligencí, někdy už nepoznají rozdíl mezi člověkem a robotem. Pro investory řešící ESG bude etika u společností využívající umělou inteligenci pravděpodobně problémem. Existují také obavy týkající se porušování autorských práv, zatímco všudypřítomnost modelů by mohla přitáhnout i regulační kontrolu.</w:t>
      </w:r>
    </w:p>
    <w:p w14:paraId="3805CBB4" w14:textId="191F8855" w:rsidR="005C0A15" w:rsidRDefault="005C0A15" w:rsidP="005C0A1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lastRenderedPageBreak/>
        <w:t xml:space="preserve"> </w:t>
      </w:r>
      <w:r w:rsidR="00B65FF5" w:rsidRPr="00B65FF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</w:t>
      </w:r>
    </w:p>
    <w:p w14:paraId="2CE4CFA0" w14:textId="77777777" w:rsidR="00B65FF5" w:rsidRP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„Letos ještě umělá inteligence spíše posílí pozici velkých technologických společností, než aby ji oslabila, protože společnosti jako Google, Meta, </w:t>
      </w:r>
      <w:proofErr w:type="spellStart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>Tencent</w:t>
      </w:r>
      <w:proofErr w:type="spellEnd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a Alibaba mají přístup k mnohem větším souborům dat než i ty nejinovativnější začínající firmy. Zdá se také, že existuje značná potřeba superrychlých čipů, které by zpracovávaly exponenciálně rostoucí množství dat potřebných k dosažení lepšího výkonu AI. Náklady se nakonec sníží a můžeme očekávat inovace v oblasti uživatelských zkušeností a jasnější cestu k monetizaci,“</w:t>
      </w:r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 říká Eva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Miklášová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, která má na starosti ETF pro celou střední Evropu, včetně Rakouska,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>. „</w:t>
      </w:r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V tomto trendu proto chceme využít maximum příležitostí. Ty nabízí třeba fond </w:t>
      </w:r>
      <w:proofErr w:type="spellStart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>Invesco</w:t>
      </w:r>
      <w:proofErr w:type="spellEnd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>Metaverse</w:t>
      </w:r>
      <w:proofErr w:type="spellEnd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>Fund</w:t>
      </w:r>
      <w:proofErr w:type="spellEnd"/>
      <w:r w:rsidRPr="00B65FF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,“ </w:t>
      </w:r>
      <w:r w:rsidRPr="00B65FF5">
        <w:rPr>
          <w:rFonts w:ascii="Invesco Interstate Light" w:eastAsiaTheme="minorEastAsia" w:hAnsi="Invesco Interstate Light"/>
          <w:sz w:val="22"/>
          <w:szCs w:val="22"/>
        </w:rPr>
        <w:t xml:space="preserve">uzavírá Eva </w:t>
      </w:r>
      <w:proofErr w:type="spellStart"/>
      <w:r w:rsidRPr="00B65FF5">
        <w:rPr>
          <w:rFonts w:ascii="Invesco Interstate Light" w:eastAsiaTheme="minorEastAsia" w:hAnsi="Invesco Interstate Light"/>
          <w:sz w:val="22"/>
          <w:szCs w:val="22"/>
        </w:rPr>
        <w:t>Miklášová</w:t>
      </w:r>
      <w:proofErr w:type="spellEnd"/>
      <w:r w:rsidRPr="00B65FF5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03B409B3" w14:textId="77777777" w:rsidR="00B65FF5" w:rsidRPr="00B65FF5" w:rsidRDefault="00B65FF5" w:rsidP="00B65FF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B06AEB4" w14:textId="288634F1" w:rsidR="00A624F1" w:rsidRPr="000061D4" w:rsidRDefault="00A624F1" w:rsidP="002D1D7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C334F37" w14:textId="2ACEA8F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289A3EFA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298D30EA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0FAA187D" w14:textId="6E46476F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5304805C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5CB2D0E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lastRenderedPageBreak/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AAB0" w14:textId="77777777" w:rsidR="005C7A1D" w:rsidRDefault="005C7A1D">
      <w:r>
        <w:separator/>
      </w:r>
    </w:p>
  </w:endnote>
  <w:endnote w:type="continuationSeparator" w:id="0">
    <w:p w14:paraId="616C4745" w14:textId="77777777" w:rsidR="005C7A1D" w:rsidRDefault="005C7A1D">
      <w:r>
        <w:continuationSeparator/>
      </w:r>
    </w:p>
  </w:endnote>
  <w:endnote w:type="continuationNotice" w:id="1">
    <w:p w14:paraId="508BA701" w14:textId="77777777" w:rsidR="005C7A1D" w:rsidRDefault="005C7A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6366" w14:textId="77777777" w:rsidR="005C7A1D" w:rsidRDefault="005C7A1D">
      <w:r>
        <w:separator/>
      </w:r>
    </w:p>
  </w:footnote>
  <w:footnote w:type="continuationSeparator" w:id="0">
    <w:p w14:paraId="143F0D86" w14:textId="77777777" w:rsidR="005C7A1D" w:rsidRDefault="005C7A1D">
      <w:r>
        <w:continuationSeparator/>
      </w:r>
    </w:p>
  </w:footnote>
  <w:footnote w:type="continuationNotice" w:id="1">
    <w:p w14:paraId="7866D178" w14:textId="77777777" w:rsidR="005C7A1D" w:rsidRDefault="005C7A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213EE533" w:rsidR="00702C33" w:rsidRPr="000730A6" w:rsidRDefault="00B65FF5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27</w:t>
    </w:r>
    <w:r w:rsidR="0083625E">
      <w:rPr>
        <w:color w:val="000000"/>
        <w:sz w:val="28"/>
        <w:szCs w:val="28"/>
      </w:rPr>
      <w:t>.</w:t>
    </w:r>
    <w:r w:rsidR="00D45C1E">
      <w:rPr>
        <w:color w:val="000000"/>
        <w:sz w:val="28"/>
        <w:szCs w:val="28"/>
      </w:rPr>
      <w:t>9</w:t>
    </w:r>
    <w:r w:rsidR="0083625E">
      <w:rPr>
        <w:color w:val="000000"/>
        <w:sz w:val="28"/>
        <w:szCs w:val="28"/>
      </w:rPr>
      <w:t>.2023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D70"/>
    <w:multiLevelType w:val="multilevel"/>
    <w:tmpl w:val="11820CCE"/>
    <w:numStyleLink w:val="FormatvorlageAufgezhlt"/>
  </w:abstractNum>
  <w:abstractNum w:abstractNumId="10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30B23"/>
    <w:multiLevelType w:val="multilevel"/>
    <w:tmpl w:val="11820CCE"/>
    <w:numStyleLink w:val="FormatvorlageAufgezhlt"/>
  </w:abstractNum>
  <w:abstractNum w:abstractNumId="14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403C3"/>
    <w:multiLevelType w:val="multilevel"/>
    <w:tmpl w:val="11820CCE"/>
    <w:numStyleLink w:val="FormatvorlageAufgezhlt"/>
  </w:abstractNum>
  <w:abstractNum w:abstractNumId="20" w15:restartNumberingAfterBreak="0">
    <w:nsid w:val="6C6C4721"/>
    <w:multiLevelType w:val="multilevel"/>
    <w:tmpl w:val="11820CCE"/>
    <w:numStyleLink w:val="FormatvorlageAufgezhlt"/>
  </w:abstractNum>
  <w:abstractNum w:abstractNumId="21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5380B"/>
    <w:multiLevelType w:val="multilevel"/>
    <w:tmpl w:val="11820CCE"/>
    <w:numStyleLink w:val="FormatvorlageAufgezhlt"/>
  </w:abstractNum>
  <w:abstractNum w:abstractNumId="23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10"/>
  </w:num>
  <w:num w:numId="3" w16cid:durableId="1282105589">
    <w:abstractNumId w:val="17"/>
  </w:num>
  <w:num w:numId="4" w16cid:durableId="1617441895">
    <w:abstractNumId w:val="11"/>
  </w:num>
  <w:num w:numId="5" w16cid:durableId="1267425896">
    <w:abstractNumId w:val="13"/>
  </w:num>
  <w:num w:numId="6" w16cid:durableId="1792238606">
    <w:abstractNumId w:val="19"/>
  </w:num>
  <w:num w:numId="7" w16cid:durableId="190919629">
    <w:abstractNumId w:val="20"/>
  </w:num>
  <w:num w:numId="8" w16cid:durableId="2083285618">
    <w:abstractNumId w:val="1"/>
  </w:num>
  <w:num w:numId="9" w16cid:durableId="1653213567">
    <w:abstractNumId w:val="22"/>
  </w:num>
  <w:num w:numId="10" w16cid:durableId="849561851">
    <w:abstractNumId w:val="9"/>
  </w:num>
  <w:num w:numId="11" w16cid:durableId="1899129255">
    <w:abstractNumId w:val="4"/>
  </w:num>
  <w:num w:numId="12" w16cid:durableId="1348407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27"/>
  </w:num>
  <w:num w:numId="14" w16cid:durableId="2009676695">
    <w:abstractNumId w:val="28"/>
  </w:num>
  <w:num w:numId="15" w16cid:durableId="1629623239">
    <w:abstractNumId w:val="16"/>
  </w:num>
  <w:num w:numId="16" w16cid:durableId="1975720235">
    <w:abstractNumId w:val="6"/>
  </w:num>
  <w:num w:numId="17" w16cid:durableId="103501300">
    <w:abstractNumId w:val="2"/>
  </w:num>
  <w:num w:numId="18" w16cid:durableId="1434014312">
    <w:abstractNumId w:val="18"/>
  </w:num>
  <w:num w:numId="19" w16cid:durableId="832065860">
    <w:abstractNumId w:val="21"/>
  </w:num>
  <w:num w:numId="20" w16cid:durableId="667943464">
    <w:abstractNumId w:val="25"/>
  </w:num>
  <w:num w:numId="21" w16cid:durableId="225343112">
    <w:abstractNumId w:val="24"/>
  </w:num>
  <w:num w:numId="22" w16cid:durableId="1319532336">
    <w:abstractNumId w:val="8"/>
  </w:num>
  <w:num w:numId="23" w16cid:durableId="1341154147">
    <w:abstractNumId w:val="15"/>
  </w:num>
  <w:num w:numId="24" w16cid:durableId="796413596">
    <w:abstractNumId w:val="12"/>
  </w:num>
  <w:num w:numId="25" w16cid:durableId="2010979537">
    <w:abstractNumId w:val="26"/>
  </w:num>
  <w:num w:numId="26" w16cid:durableId="951936802">
    <w:abstractNumId w:val="14"/>
  </w:num>
  <w:num w:numId="27" w16cid:durableId="1672954226">
    <w:abstractNumId w:val="3"/>
  </w:num>
  <w:num w:numId="28" w16cid:durableId="953906591">
    <w:abstractNumId w:val="5"/>
  </w:num>
  <w:num w:numId="29" w16cid:durableId="9236060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13F4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947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DED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A15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C7A1D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A9E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2B6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5FF5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4187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6D8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5C1E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3EA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17D1"/>
    <w:rsid w:val="00DE2431"/>
    <w:rsid w:val="00DE30F3"/>
    <w:rsid w:val="00DE3590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1204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2023-09-27T11:31:00Z</dcterms:created>
  <dcterms:modified xsi:type="dcterms:W3CDTF">2023-09-27T11:31:00Z</dcterms:modified>
</cp:coreProperties>
</file>