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9D89" w14:textId="77777777" w:rsidR="005C0A15" w:rsidRDefault="005C0A15" w:rsidP="00FE7A02">
      <w:pPr>
        <w:spacing w:before="100" w:beforeAutospacing="1" w:after="100" w:afterAutospacing="1" w:line="266" w:lineRule="atLeast"/>
        <w:jc w:val="both"/>
        <w:outlineLvl w:val="0"/>
        <w:rPr>
          <w:rFonts w:ascii="Invesco Interstate Bold" w:hAnsi="Invesco Interstate Bold"/>
          <w:b/>
          <w:bCs/>
          <w:sz w:val="28"/>
          <w:szCs w:val="28"/>
        </w:rPr>
      </w:pPr>
    </w:p>
    <w:p w14:paraId="7ACA614A" w14:textId="19B9B140" w:rsidR="00E66388" w:rsidRDefault="00334096"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Výhled společnosti </w:t>
      </w: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na 4. čtvrtletí 2023</w:t>
      </w:r>
    </w:p>
    <w:p w14:paraId="1B0F0D03" w14:textId="31351E6B" w:rsidR="00B65FF5" w:rsidRPr="00334096" w:rsidRDefault="00334096" w:rsidP="00B65FF5">
      <w:pPr>
        <w:spacing w:line="276" w:lineRule="auto"/>
        <w:jc w:val="both"/>
        <w:rPr>
          <w:rFonts w:ascii="Invesco Interstate Light" w:hAnsi="Invesco Interstate Light"/>
          <w:b/>
          <w:bCs/>
          <w:sz w:val="22"/>
          <w:szCs w:val="22"/>
        </w:rPr>
      </w:pPr>
      <w:r w:rsidRPr="00334096">
        <w:rPr>
          <w:rFonts w:ascii="Invesco Interstate Light" w:hAnsi="Invesco Interstate Light"/>
          <w:b/>
          <w:bCs/>
          <w:sz w:val="22"/>
          <w:szCs w:val="22"/>
        </w:rPr>
        <w:t>Klíčové poznatky:</w:t>
      </w:r>
    </w:p>
    <w:p w14:paraId="707D2CDF" w14:textId="27C4DF92" w:rsidR="00334096" w:rsidRDefault="00334096" w:rsidP="00334096">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 xml:space="preserve">Globální ekonomika zpomaluje, ale cyklická aktiva se chovají, jako by zrychlovala. </w:t>
      </w:r>
    </w:p>
    <w:p w14:paraId="0D2F4A25" w14:textId="08E7159D" w:rsidR="00334096" w:rsidRDefault="00334096" w:rsidP="00334096">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Do našeho portfoliového modelu jsme zavedli bankovní úvěry a myslíme si, že s poklesem sazeb by se mohlo dařit i státním dluhopisům.</w:t>
      </w:r>
    </w:p>
    <w:p w14:paraId="28644A50" w14:textId="39E3DB2B" w:rsidR="00B65FF5" w:rsidRPr="00334096" w:rsidRDefault="00334096" w:rsidP="00334096">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 xml:space="preserve">Ve většině kategorií aktiv upřednostňujeme rozvíjející se trhy. To zvyšuje rizikovost </w:t>
      </w:r>
      <w:r w:rsidR="000366D4">
        <w:rPr>
          <w:rFonts w:ascii="Invesco Interstate Light" w:hAnsi="Invesco Interstate Light"/>
          <w:sz w:val="22"/>
          <w:szCs w:val="22"/>
        </w:rPr>
        <w:t xml:space="preserve">našeho postoje. </w:t>
      </w:r>
    </w:p>
    <w:p w14:paraId="76728424" w14:textId="5E1FF74C" w:rsidR="00B65FF5" w:rsidRPr="004E3E12" w:rsidRDefault="000366D4" w:rsidP="00B65FF5">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Zavedení bankovních úvěrů</w:t>
      </w:r>
    </w:p>
    <w:p w14:paraId="7FB3B556" w14:textId="005914FC" w:rsidR="000366D4" w:rsidRPr="000366D4" w:rsidRDefault="000366D4" w:rsidP="000366D4">
      <w:pPr>
        <w:pStyle w:val="Normlnweb"/>
        <w:jc w:val="both"/>
        <w:rPr>
          <w:rFonts w:ascii="Invesco Interstate Light" w:hAnsi="Invesco Interstate Light"/>
          <w:sz w:val="22"/>
          <w:szCs w:val="22"/>
        </w:rPr>
      </w:pPr>
      <w:r w:rsidRPr="000366D4">
        <w:rPr>
          <w:rFonts w:ascii="Invesco Interstate Light" w:hAnsi="Invesco Interstate Light"/>
          <w:sz w:val="22"/>
          <w:szCs w:val="22"/>
        </w:rPr>
        <w:t>Očekáváme, že globální ekonomika bude nadále zpomalovat, ale nedávné chování aktiv odpovídá tomu, co bychom očekávali při zrychlení. Proto zůstáváme opatrní a očekáváme u cyklických aktiv období konsolidace.</w:t>
      </w:r>
    </w:p>
    <w:p w14:paraId="2BD76F89" w14:textId="77777777" w:rsidR="000366D4" w:rsidRPr="000366D4" w:rsidRDefault="000366D4" w:rsidP="000366D4">
      <w:pPr>
        <w:pStyle w:val="Normlnweb"/>
        <w:jc w:val="both"/>
        <w:rPr>
          <w:rFonts w:ascii="Invesco Interstate Light" w:hAnsi="Invesco Interstate Light"/>
          <w:sz w:val="22"/>
          <w:szCs w:val="22"/>
        </w:rPr>
      </w:pPr>
      <w:r w:rsidRPr="000366D4">
        <w:rPr>
          <w:rFonts w:ascii="Invesco Interstate Light" w:hAnsi="Invesco Interstate Light"/>
          <w:sz w:val="22"/>
          <w:szCs w:val="22"/>
        </w:rPr>
        <w:t xml:space="preserve">V rámci naší modelové alokace aktiv snižujeme postoj k aktivům s vysokým výnosem (HY) na neutrální, přidáváme vládním dluhopisům (stále </w:t>
      </w:r>
      <w:proofErr w:type="spellStart"/>
      <w:r w:rsidRPr="000366D4">
        <w:rPr>
          <w:rFonts w:ascii="Invesco Interstate Light" w:hAnsi="Invesco Interstate Light"/>
          <w:sz w:val="22"/>
          <w:szCs w:val="22"/>
        </w:rPr>
        <w:t>podváženým</w:t>
      </w:r>
      <w:proofErr w:type="spellEnd"/>
      <w:r w:rsidRPr="000366D4">
        <w:rPr>
          <w:rFonts w:ascii="Invesco Interstate Light" w:hAnsi="Invesco Interstate Light"/>
          <w:sz w:val="22"/>
          <w:szCs w:val="22"/>
        </w:rPr>
        <w:t>) a bankovní úvěry klasifikujeme jako „</w:t>
      </w:r>
      <w:proofErr w:type="spellStart"/>
      <w:r w:rsidRPr="000366D4">
        <w:rPr>
          <w:rFonts w:ascii="Invesco Interstate Light" w:hAnsi="Invesco Interstate Light"/>
          <w:sz w:val="22"/>
          <w:szCs w:val="22"/>
        </w:rPr>
        <w:t>Overweight</w:t>
      </w:r>
      <w:proofErr w:type="spellEnd"/>
      <w:r w:rsidRPr="000366D4">
        <w:rPr>
          <w:rFonts w:ascii="Invesco Interstate Light" w:hAnsi="Invesco Interstate Light"/>
          <w:sz w:val="22"/>
          <w:szCs w:val="22"/>
        </w:rPr>
        <w:t>“. Konzervativní postoj je vyvážen zachováním orientace na aktiva rozvíjejících se trhů (EM).</w:t>
      </w:r>
    </w:p>
    <w:p w14:paraId="4AA2662F" w14:textId="77777777" w:rsidR="000366D4" w:rsidRPr="000366D4" w:rsidRDefault="000366D4" w:rsidP="000366D4">
      <w:pPr>
        <w:pStyle w:val="Normlnweb"/>
        <w:jc w:val="both"/>
        <w:rPr>
          <w:rFonts w:ascii="Invesco Interstate Light" w:hAnsi="Invesco Interstate Light"/>
          <w:sz w:val="22"/>
          <w:szCs w:val="22"/>
        </w:rPr>
      </w:pPr>
      <w:r w:rsidRPr="000366D4">
        <w:rPr>
          <w:rFonts w:ascii="Invesco Interstate Light" w:hAnsi="Invesco Interstate Light"/>
          <w:sz w:val="22"/>
          <w:szCs w:val="22"/>
        </w:rPr>
        <w:t xml:space="preserve">Do modelové alokace aktiv přidáváme </w:t>
      </w:r>
      <w:proofErr w:type="spellStart"/>
      <w:r w:rsidRPr="000366D4">
        <w:rPr>
          <w:rFonts w:ascii="Invesco Interstate Light" w:hAnsi="Invesco Interstate Light"/>
          <w:sz w:val="22"/>
          <w:szCs w:val="22"/>
        </w:rPr>
        <w:t>nadvážené</w:t>
      </w:r>
      <w:proofErr w:type="spellEnd"/>
      <w:r w:rsidRPr="000366D4">
        <w:rPr>
          <w:rFonts w:ascii="Invesco Interstate Light" w:hAnsi="Invesco Interstate Light"/>
          <w:sz w:val="22"/>
          <w:szCs w:val="22"/>
        </w:rPr>
        <w:t xml:space="preserve"> bankovní úvěry s 6 % (oproti neutrálním 4 %). Bankovní úvěry vnímáme jako něco mezi hotovostí (s téměř nulovou durací) a HY (s rizikem selhání). Za normálních okolností lze očekávat, že po snížení sazeb centrálními bankami bude mít tato třída aktiv horší výkonnost než HY, ale podle našeho názoru ocenění v současné době zvýhodňuje bankovní úvěry. </w:t>
      </w:r>
    </w:p>
    <w:p w14:paraId="74118992" w14:textId="63C2704F" w:rsidR="000366D4" w:rsidRDefault="000366D4" w:rsidP="00B65FF5">
      <w:pPr>
        <w:spacing w:line="276" w:lineRule="auto"/>
        <w:jc w:val="both"/>
        <w:rPr>
          <w:rFonts w:ascii="Invesco Interstate Light" w:eastAsia="MS Mincho" w:hAnsi="Invesco Interstate Light"/>
          <w:sz w:val="22"/>
          <w:szCs w:val="22"/>
          <w:lang w:eastAsia="ja-JP"/>
        </w:rPr>
      </w:pPr>
      <w:r w:rsidRPr="000366D4">
        <w:rPr>
          <w:rFonts w:ascii="Invesco Interstate Light" w:eastAsia="MS Mincho" w:hAnsi="Invesco Interstate Light"/>
          <w:sz w:val="22"/>
          <w:szCs w:val="22"/>
          <w:lang w:eastAsia="ja-JP"/>
        </w:rPr>
        <w:t xml:space="preserve">Bankovní úvěry jsou aktiva, která byla původně poskytnuta bankami podnikům nebo jiným subjektům (nyní jsou často sjednávány v rámci specifického </w:t>
      </w:r>
      <w:proofErr w:type="spellStart"/>
      <w:r w:rsidRPr="000366D4">
        <w:rPr>
          <w:rFonts w:ascii="Invesco Interstate Light" w:eastAsia="MS Mincho" w:hAnsi="Invesco Interstate Light"/>
          <w:sz w:val="22"/>
          <w:szCs w:val="22"/>
          <w:lang w:eastAsia="ja-JP"/>
        </w:rPr>
        <w:t>syndikačního</w:t>
      </w:r>
      <w:proofErr w:type="spellEnd"/>
      <w:r w:rsidRPr="000366D4">
        <w:rPr>
          <w:rFonts w:ascii="Invesco Interstate Light" w:eastAsia="MS Mincho" w:hAnsi="Invesco Interstate Light"/>
          <w:sz w:val="22"/>
          <w:szCs w:val="22"/>
          <w:lang w:eastAsia="ja-JP"/>
        </w:rPr>
        <w:t xml:space="preserve"> procesu).</w:t>
      </w:r>
    </w:p>
    <w:p w14:paraId="0AA32DDB" w14:textId="77777777" w:rsidR="000366D4" w:rsidRPr="000366D4" w:rsidRDefault="000366D4" w:rsidP="000366D4">
      <w:pPr>
        <w:pStyle w:val="Normlnweb"/>
        <w:rPr>
          <w:rFonts w:ascii="Invesco Interstate Light" w:eastAsia="Times New Roman" w:hAnsi="Invesco Interstate Light"/>
          <w:b/>
          <w:bCs/>
          <w:sz w:val="22"/>
          <w:szCs w:val="22"/>
          <w:lang w:eastAsia="de-DE"/>
        </w:rPr>
      </w:pPr>
      <w:r w:rsidRPr="000366D4">
        <w:rPr>
          <w:rFonts w:ascii="Invesco Interstate Light" w:eastAsia="Times New Roman" w:hAnsi="Invesco Interstate Light"/>
          <w:b/>
          <w:bCs/>
          <w:sz w:val="22"/>
          <w:szCs w:val="22"/>
          <w:lang w:eastAsia="de-DE"/>
        </w:rPr>
        <w:t>Naše prognózy na příštích 12 měsíců jsou založeny na následujících předpokladech:</w:t>
      </w:r>
    </w:p>
    <w:p w14:paraId="36B3438B" w14:textId="147E0A0B"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Růst světového HDP se zpomalí ale poté se obnoví</w:t>
      </w:r>
    </w:p>
    <w:p w14:paraId="16330BA2" w14:textId="72F18FE5"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Globální inflace se sníží, ale zůstane nad cíli mnoha centrálních bank</w:t>
      </w:r>
    </w:p>
    <w:p w14:paraId="3F51FB0D" w14:textId="69D514B7"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Hlavní západní centrální banky se blíží ke konci svých cyklů zpřísňování měnové politiky</w:t>
      </w:r>
    </w:p>
    <w:p w14:paraId="4834D1B1" w14:textId="526B11FD"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Výnosy dlouhodobých vládních dluhopisů budou smíšené; výnosové křivky budou v průběhu roku 2024 strmější</w:t>
      </w:r>
    </w:p>
    <w:p w14:paraId="78E447FE" w14:textId="5136A6D1"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Úvěrové spready se v USA rozšíří, ale v Evropě budou smíšené a dojde k nárůstu nesplacených úvěrů</w:t>
      </w:r>
    </w:p>
    <w:p w14:paraId="01194E58" w14:textId="4C2DEE99"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Spready bankovních úvěrů budou stabilní, ale poroste počet nesplacených úvěrů</w:t>
      </w:r>
    </w:p>
    <w:p w14:paraId="131876A4" w14:textId="76608EED"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Růst dividend akcií a REIT se zmírňuje a pohyby výnosů jsou smíšené</w:t>
      </w:r>
    </w:p>
    <w:p w14:paraId="5977AA6E" w14:textId="5314E1A9" w:rsidR="000366D4"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Komodity se potýkají s problémy, protože globální ekonomika zpomaluje (s výjimkou zemědělských produktů)</w:t>
      </w:r>
    </w:p>
    <w:p w14:paraId="27DBC932" w14:textId="742CAD27" w:rsidR="000366D4" w:rsidRPr="00334096" w:rsidRDefault="000366D4" w:rsidP="000366D4">
      <w:pPr>
        <w:pStyle w:val="Normlnweb"/>
        <w:numPr>
          <w:ilvl w:val="0"/>
          <w:numId w:val="30"/>
        </w:numPr>
        <w:jc w:val="both"/>
        <w:rPr>
          <w:rFonts w:ascii="Invesco Interstate Light" w:hAnsi="Invesco Interstate Light"/>
          <w:sz w:val="22"/>
          <w:szCs w:val="22"/>
        </w:rPr>
      </w:pPr>
      <w:r>
        <w:rPr>
          <w:rFonts w:ascii="Invesco Interstate Light" w:hAnsi="Invesco Interstate Light"/>
          <w:sz w:val="22"/>
          <w:szCs w:val="22"/>
        </w:rPr>
        <w:t xml:space="preserve">USD oslabuje s tím, jak končí zpřísňování pravidel </w:t>
      </w:r>
      <w:proofErr w:type="spellStart"/>
      <w:r>
        <w:rPr>
          <w:rFonts w:ascii="Invesco Interstate Light" w:hAnsi="Invesco Interstate Light"/>
          <w:sz w:val="22"/>
          <w:szCs w:val="22"/>
        </w:rPr>
        <w:t>Fedu</w:t>
      </w:r>
      <w:proofErr w:type="spellEnd"/>
    </w:p>
    <w:p w14:paraId="6C260BE4" w14:textId="77777777" w:rsidR="000366D4" w:rsidRPr="000366D4" w:rsidRDefault="000366D4" w:rsidP="00B65FF5">
      <w:pPr>
        <w:spacing w:line="276" w:lineRule="auto"/>
        <w:jc w:val="both"/>
        <w:rPr>
          <w:rFonts w:ascii="Invesco Interstate Light" w:eastAsia="MS Mincho" w:hAnsi="Invesco Interstate Light"/>
          <w:sz w:val="22"/>
          <w:szCs w:val="22"/>
          <w:lang w:eastAsia="ja-JP"/>
        </w:rPr>
      </w:pPr>
    </w:p>
    <w:p w14:paraId="43FBB593" w14:textId="77777777" w:rsidR="00B74187" w:rsidRDefault="00B74187" w:rsidP="00B74187">
      <w:pPr>
        <w:spacing w:line="276" w:lineRule="auto"/>
      </w:pPr>
    </w:p>
    <w:p w14:paraId="32C4A76B" w14:textId="5B922822" w:rsidR="000A13F4" w:rsidRPr="000366D4" w:rsidRDefault="000366D4" w:rsidP="000366D4">
      <w:pPr>
        <w:pStyle w:val="Normlnweb"/>
        <w:jc w:val="both"/>
        <w:rPr>
          <w:rFonts w:ascii="Invesco Interstate Light" w:eastAsia="Times New Roman" w:hAnsi="Invesco Interstate Light"/>
          <w:sz w:val="22"/>
          <w:szCs w:val="22"/>
          <w:lang w:eastAsia="de-DE"/>
        </w:rPr>
      </w:pPr>
      <w:r w:rsidRPr="000366D4">
        <w:rPr>
          <w:rFonts w:ascii="Invesco Interstate Light" w:eastAsia="Times New Roman" w:hAnsi="Invesco Interstate Light"/>
          <w:sz w:val="22"/>
          <w:szCs w:val="22"/>
          <w:lang w:eastAsia="de-DE"/>
        </w:rPr>
        <w:lastRenderedPageBreak/>
        <w:t>Spready HY se opět zúžily, což nám v době zpomalování ekonomiky připadá zvláštní. Očekáváme, že se spready opět rozšíří a dojde k nárůstu nesplácených dluhopisů, navíc poznamenáváme, že HY má tendenci dosahovat horších výsledků než ostatní aktiva s pevným výnosem, když americký Federální rezervní systém začne uvolňovat, resp. snižovat úrokové sazby.</w:t>
      </w:r>
    </w:p>
    <w:p w14:paraId="1F76221F" w14:textId="77777777" w:rsidR="000366D4" w:rsidRPr="000366D4" w:rsidRDefault="000366D4" w:rsidP="000366D4">
      <w:pPr>
        <w:pStyle w:val="Normlnweb"/>
        <w:jc w:val="both"/>
        <w:rPr>
          <w:rFonts w:ascii="Invesco Interstate Light" w:eastAsia="Times New Roman" w:hAnsi="Invesco Interstate Light"/>
          <w:sz w:val="22"/>
          <w:szCs w:val="22"/>
          <w:lang w:eastAsia="de-DE"/>
        </w:rPr>
      </w:pPr>
      <w:r w:rsidRPr="000366D4">
        <w:rPr>
          <w:rFonts w:ascii="Invesco Interstate Light" w:eastAsia="Times New Roman" w:hAnsi="Invesco Interstate Light"/>
          <w:sz w:val="22"/>
          <w:szCs w:val="22"/>
          <w:lang w:eastAsia="de-DE"/>
        </w:rPr>
        <w:t xml:space="preserve">Zároveň přidáváme váhy na státní dluhopisy (z 20 % na 22 %), i když zůstáváme </w:t>
      </w:r>
      <w:proofErr w:type="spellStart"/>
      <w:r w:rsidRPr="000366D4">
        <w:rPr>
          <w:rFonts w:ascii="Invesco Interstate Light" w:eastAsia="Times New Roman" w:hAnsi="Invesco Interstate Light"/>
          <w:sz w:val="22"/>
          <w:szCs w:val="22"/>
          <w:lang w:eastAsia="de-DE"/>
        </w:rPr>
        <w:t>podvážení</w:t>
      </w:r>
      <w:proofErr w:type="spellEnd"/>
      <w:r w:rsidRPr="000366D4">
        <w:rPr>
          <w:rFonts w:ascii="Invesco Interstate Light" w:eastAsia="Times New Roman" w:hAnsi="Invesco Interstate Light"/>
          <w:sz w:val="22"/>
          <w:szCs w:val="22"/>
          <w:lang w:eastAsia="de-DE"/>
        </w:rPr>
        <w:t xml:space="preserve"> oproti neutrálním 25 %. Výnosy v posledních třech měsících vzrostly a poznamenáváme, že státní dluhopisy mají tendenci dosahovat relativně dobrých výsledků, když Fed začne uvolňovat.</w:t>
      </w:r>
    </w:p>
    <w:p w14:paraId="297224DC" w14:textId="0A3E8A3B" w:rsidR="000366D4" w:rsidRPr="004E3E12" w:rsidRDefault="000366D4" w:rsidP="000366D4">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Obrázek 1. Optimalizované alokace pro globální aktiva (s použitím výnosů v místní měně)</w:t>
      </w:r>
    </w:p>
    <w:p w14:paraId="5EE7B99E" w14:textId="77777777" w:rsidR="000A13F4" w:rsidRDefault="000A13F4" w:rsidP="000A13F4"/>
    <w:tbl>
      <w:tblPr>
        <w:tblW w:w="5000" w:type="pct"/>
        <w:tblBorders>
          <w:top w:val="outset" w:sz="2" w:space="0" w:color="auto"/>
          <w:left w:val="outset" w:sz="2" w:space="0" w:color="auto"/>
          <w:bottom w:val="single" w:sz="6" w:space="0" w:color="F0F0F0"/>
          <w:right w:val="outset" w:sz="2" w:space="0" w:color="auto"/>
        </w:tblBorders>
        <w:tblCellMar>
          <w:top w:w="12" w:type="dxa"/>
          <w:left w:w="12" w:type="dxa"/>
          <w:bottom w:w="12" w:type="dxa"/>
          <w:right w:w="12" w:type="dxa"/>
        </w:tblCellMar>
        <w:tblLook w:val="04A0" w:firstRow="1" w:lastRow="0" w:firstColumn="1" w:lastColumn="0" w:noHBand="0" w:noVBand="1"/>
      </w:tblPr>
      <w:tblGrid>
        <w:gridCol w:w="2208"/>
        <w:gridCol w:w="1322"/>
        <w:gridCol w:w="1099"/>
        <w:gridCol w:w="1303"/>
        <w:gridCol w:w="1205"/>
        <w:gridCol w:w="985"/>
        <w:gridCol w:w="1491"/>
      </w:tblGrid>
      <w:tr w:rsidR="000F0EF7" w14:paraId="5E287D61"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5358E5D2" w14:textId="77777777" w:rsidR="000F0EF7" w:rsidRDefault="000F0EF7" w:rsidP="00DB75AA">
            <w:pPr>
              <w:spacing w:line="330" w:lineRule="atLeast"/>
              <w:rPr>
                <w:rFonts w:ascii="Times New Roman" w:hAnsi="Times New Roman"/>
                <w:color w:val="000000"/>
                <w:sz w:val="21"/>
                <w:szCs w:val="21"/>
              </w:rPr>
            </w:pPr>
            <w:r>
              <w:rPr>
                <w:color w:val="000000"/>
                <w:sz w:val="21"/>
                <w:szCs w:val="21"/>
              </w:rPr>
              <w:t> </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147583E1" w14:textId="77777777" w:rsidR="000F0EF7" w:rsidRDefault="000F0EF7" w:rsidP="00DB75AA">
            <w:pPr>
              <w:spacing w:line="330" w:lineRule="atLeast"/>
              <w:rPr>
                <w:color w:val="000000"/>
                <w:sz w:val="21"/>
                <w:szCs w:val="21"/>
              </w:rPr>
            </w:pPr>
            <w:r>
              <w:rPr>
                <w:color w:val="000000"/>
                <w:sz w:val="21"/>
                <w:szCs w:val="21"/>
              </w:rPr>
              <w:t> </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7B51195D" w14:textId="77777777" w:rsidR="000F0EF7" w:rsidRDefault="000F0EF7" w:rsidP="00DB75AA">
            <w:pPr>
              <w:spacing w:line="330" w:lineRule="atLeast"/>
              <w:rPr>
                <w:color w:val="000000"/>
                <w:sz w:val="21"/>
                <w:szCs w:val="21"/>
              </w:rPr>
            </w:pPr>
            <w:r>
              <w:rPr>
                <w:color w:val="000000"/>
                <w:sz w:val="21"/>
                <w:szCs w:val="21"/>
              </w:rPr>
              <w:t> </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714701B0" w14:textId="77777777" w:rsidR="000F0EF7" w:rsidRDefault="000F0EF7" w:rsidP="00DB75AA">
            <w:pPr>
              <w:spacing w:line="330" w:lineRule="atLeast"/>
              <w:rPr>
                <w:color w:val="000000"/>
                <w:sz w:val="21"/>
                <w:szCs w:val="21"/>
              </w:rPr>
            </w:pPr>
            <w:r>
              <w:rPr>
                <w:color w:val="000000"/>
                <w:sz w:val="21"/>
                <w:szCs w:val="21"/>
              </w:rPr>
              <w:t> </w:t>
            </w:r>
          </w:p>
        </w:tc>
        <w:tc>
          <w:tcPr>
            <w:tcW w:w="0" w:type="auto"/>
            <w:gridSpan w:val="2"/>
            <w:tcBorders>
              <w:top w:val="outset" w:sz="2" w:space="0" w:color="auto"/>
              <w:left w:val="outset" w:sz="2" w:space="0" w:color="auto"/>
              <w:bottom w:val="single" w:sz="6" w:space="0" w:color="F0F0F0"/>
              <w:right w:val="outset" w:sz="2" w:space="0" w:color="auto"/>
            </w:tcBorders>
            <w:shd w:val="clear" w:color="auto" w:fill="F6F6F6"/>
            <w:hideMark/>
          </w:tcPr>
          <w:p w14:paraId="4C18B559" w14:textId="77777777" w:rsidR="000F0EF7" w:rsidRDefault="000F0EF7" w:rsidP="00DB75AA">
            <w:pPr>
              <w:spacing w:line="330" w:lineRule="atLeast"/>
              <w:rPr>
                <w:color w:val="000000"/>
                <w:sz w:val="21"/>
                <w:szCs w:val="21"/>
              </w:rPr>
            </w:pPr>
            <w:r>
              <w:rPr>
                <w:b/>
                <w:bCs/>
                <w:color w:val="000000"/>
                <w:sz w:val="21"/>
                <w:szCs w:val="21"/>
              </w:rPr>
              <w:t>Optimalizace</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6AF1ED46" w14:textId="77777777" w:rsidR="000F0EF7" w:rsidRDefault="000F0EF7" w:rsidP="00DB75AA">
            <w:pPr>
              <w:spacing w:line="330" w:lineRule="atLeast"/>
              <w:rPr>
                <w:color w:val="000000"/>
                <w:sz w:val="21"/>
                <w:szCs w:val="21"/>
              </w:rPr>
            </w:pPr>
            <w:r>
              <w:rPr>
                <w:color w:val="000000"/>
                <w:sz w:val="21"/>
                <w:szCs w:val="21"/>
              </w:rPr>
              <w:t> </w:t>
            </w:r>
          </w:p>
        </w:tc>
      </w:tr>
      <w:tr w:rsidR="000F0EF7" w14:paraId="74353588"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525EE241" w14:textId="77777777" w:rsidR="000F0EF7" w:rsidRDefault="000F0EF7" w:rsidP="00DB75AA">
            <w:pPr>
              <w:spacing w:line="330" w:lineRule="atLeast"/>
              <w:rPr>
                <w:color w:val="000000"/>
                <w:sz w:val="21"/>
                <w:szCs w:val="21"/>
              </w:rPr>
            </w:pPr>
            <w:r>
              <w:rPr>
                <w:color w:val="000000"/>
                <w:sz w:val="21"/>
                <w:szCs w:val="21"/>
              </w:rPr>
              <w:t> </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1D1AC6A9" w14:textId="77777777" w:rsidR="000F0EF7" w:rsidRDefault="000F0EF7" w:rsidP="00DB75AA">
            <w:pPr>
              <w:spacing w:line="330" w:lineRule="atLeast"/>
              <w:rPr>
                <w:color w:val="000000"/>
                <w:sz w:val="21"/>
                <w:szCs w:val="21"/>
              </w:rPr>
            </w:pPr>
            <w:r>
              <w:rPr>
                <w:b/>
                <w:bCs/>
                <w:color w:val="000000"/>
                <w:sz w:val="21"/>
                <w:szCs w:val="21"/>
              </w:rPr>
              <w:t>Neutrální Portfolio</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2743FC37" w14:textId="77777777" w:rsidR="000F0EF7" w:rsidRPr="00AA1767" w:rsidRDefault="000F0EF7" w:rsidP="00DB75AA">
            <w:pPr>
              <w:spacing w:line="330" w:lineRule="atLeast"/>
              <w:rPr>
                <w:b/>
                <w:bCs/>
                <w:color w:val="000000"/>
                <w:sz w:val="21"/>
                <w:szCs w:val="21"/>
              </w:rPr>
            </w:pPr>
            <w:r w:rsidRPr="00AA1767">
              <w:rPr>
                <w:b/>
                <w:bCs/>
                <w:color w:val="000000"/>
                <w:sz w:val="21"/>
                <w:szCs w:val="21"/>
              </w:rPr>
              <w:t xml:space="preserve"> Rozptyl</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762F9402" w14:textId="77777777" w:rsidR="000F0EF7" w:rsidRPr="00AA1767" w:rsidRDefault="000F0EF7" w:rsidP="00DB75AA">
            <w:pPr>
              <w:spacing w:line="330" w:lineRule="atLeast"/>
              <w:rPr>
                <w:b/>
                <w:bCs/>
                <w:color w:val="000000"/>
                <w:sz w:val="21"/>
                <w:szCs w:val="21"/>
              </w:rPr>
            </w:pPr>
            <w:r w:rsidRPr="00AA1767">
              <w:rPr>
                <w:b/>
                <w:bCs/>
                <w:color w:val="000000"/>
                <w:sz w:val="21"/>
                <w:szCs w:val="21"/>
              </w:rPr>
              <w:t>Očekávané výnosy</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1A4DFC40" w14:textId="77777777" w:rsidR="000F0EF7" w:rsidRDefault="000F0EF7" w:rsidP="00DB75AA">
            <w:pPr>
              <w:spacing w:line="330" w:lineRule="atLeast"/>
              <w:rPr>
                <w:color w:val="000000"/>
                <w:sz w:val="21"/>
                <w:szCs w:val="21"/>
              </w:rPr>
            </w:pPr>
            <w:proofErr w:type="spellStart"/>
            <w:r>
              <w:rPr>
                <w:b/>
                <w:bCs/>
                <w:color w:val="000000"/>
                <w:sz w:val="21"/>
                <w:szCs w:val="21"/>
              </w:rPr>
              <w:t>Sharpeho</w:t>
            </w:r>
            <w:proofErr w:type="spellEnd"/>
            <w:r>
              <w:rPr>
                <w:b/>
                <w:bCs/>
                <w:color w:val="000000"/>
                <w:sz w:val="21"/>
                <w:szCs w:val="21"/>
              </w:rPr>
              <w:t xml:space="preserve"> poměr</w:t>
            </w: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3CD2EFE7" w14:textId="77777777" w:rsidR="000F0EF7" w:rsidRDefault="000F0EF7" w:rsidP="00DB75AA">
            <w:pPr>
              <w:spacing w:line="330" w:lineRule="atLeast"/>
              <w:rPr>
                <w:b/>
                <w:bCs/>
                <w:color w:val="000000"/>
                <w:sz w:val="21"/>
                <w:szCs w:val="21"/>
              </w:rPr>
            </w:pPr>
            <w:r>
              <w:rPr>
                <w:b/>
                <w:bCs/>
                <w:color w:val="000000"/>
                <w:sz w:val="21"/>
                <w:szCs w:val="21"/>
              </w:rPr>
              <w:t>Max</w:t>
            </w:r>
          </w:p>
          <w:p w14:paraId="034A43CB" w14:textId="77777777" w:rsidR="000F0EF7" w:rsidRDefault="000F0EF7" w:rsidP="00DB75AA">
            <w:pPr>
              <w:spacing w:line="330" w:lineRule="atLeast"/>
              <w:rPr>
                <w:b/>
                <w:bCs/>
                <w:color w:val="000000"/>
                <w:sz w:val="21"/>
                <w:szCs w:val="21"/>
              </w:rPr>
            </w:pPr>
            <w:r>
              <w:rPr>
                <w:b/>
                <w:bCs/>
                <w:color w:val="000000"/>
                <w:sz w:val="21"/>
                <w:szCs w:val="21"/>
              </w:rPr>
              <w:t>výnos</w:t>
            </w:r>
          </w:p>
          <w:p w14:paraId="5317722D" w14:textId="77777777" w:rsidR="000F0EF7" w:rsidRDefault="000F0EF7" w:rsidP="00DB75AA">
            <w:pPr>
              <w:spacing w:line="330" w:lineRule="atLeast"/>
              <w:rPr>
                <w:color w:val="000000"/>
                <w:sz w:val="21"/>
                <w:szCs w:val="21"/>
              </w:rPr>
            </w:pPr>
          </w:p>
        </w:tc>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4584015D" w14:textId="77777777" w:rsidR="000F0EF7" w:rsidRDefault="000F0EF7" w:rsidP="00DB75AA">
            <w:pPr>
              <w:spacing w:line="330" w:lineRule="atLeast"/>
              <w:rPr>
                <w:color w:val="000000"/>
                <w:sz w:val="21"/>
                <w:szCs w:val="21"/>
              </w:rPr>
            </w:pPr>
            <w:r>
              <w:rPr>
                <w:b/>
                <w:bCs/>
                <w:color w:val="000000"/>
                <w:sz w:val="21"/>
                <w:szCs w:val="21"/>
              </w:rPr>
              <w:t>Modelová alokace aktiv</w:t>
            </w:r>
          </w:p>
        </w:tc>
      </w:tr>
      <w:tr w:rsidR="000F0EF7" w14:paraId="14FA70F9"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3853A010" w14:textId="77777777" w:rsidR="000F0EF7" w:rsidRDefault="000F0EF7" w:rsidP="00DB75AA">
            <w:pPr>
              <w:spacing w:line="330" w:lineRule="atLeast"/>
              <w:rPr>
                <w:color w:val="000000"/>
                <w:sz w:val="21"/>
                <w:szCs w:val="21"/>
              </w:rPr>
            </w:pPr>
            <w:r>
              <w:rPr>
                <w:b/>
                <w:bCs/>
                <w:color w:val="000000"/>
                <w:sz w:val="21"/>
                <w:szCs w:val="21"/>
              </w:rPr>
              <w:t>Hotovost &amp; Zlato</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7B3050D0" w14:textId="77777777" w:rsidR="000F0EF7" w:rsidRDefault="000F0EF7" w:rsidP="00DB75AA">
            <w:pPr>
              <w:spacing w:line="330" w:lineRule="atLeast"/>
              <w:rPr>
                <w:color w:val="000000"/>
                <w:sz w:val="21"/>
                <w:szCs w:val="21"/>
              </w:rPr>
            </w:pPr>
            <w:proofErr w:type="gramStart"/>
            <w:r>
              <w:rPr>
                <w:color w:val="000000"/>
                <w:sz w:val="21"/>
                <w:szCs w:val="21"/>
              </w:rPr>
              <w:t>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79934F3"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B910BA5"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67889B7" w14:textId="77777777" w:rsidR="000F0EF7" w:rsidRDefault="000F0EF7" w:rsidP="00DB75AA">
            <w:pPr>
              <w:spacing w:line="330" w:lineRule="atLeast"/>
              <w:rPr>
                <w:color w:val="000000"/>
                <w:sz w:val="21"/>
                <w:szCs w:val="21"/>
              </w:rPr>
            </w:pP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794803F9" w14:textId="77777777" w:rsidR="000F0EF7" w:rsidRDefault="000F0EF7" w:rsidP="00DB75AA">
            <w:pPr>
              <w:spacing w:line="330" w:lineRule="atLeast"/>
              <w:rPr>
                <w:color w:val="000000"/>
                <w:sz w:val="21"/>
                <w:szCs w:val="21"/>
              </w:rPr>
            </w:pPr>
            <w:proofErr w:type="gramStart"/>
            <w:r>
              <w:rPr>
                <w:color w:val="000000"/>
                <w:sz w:val="21"/>
                <w:szCs w:val="21"/>
              </w:rPr>
              <w:t>6%</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ACD6722" w14:textId="77777777" w:rsidR="000F0EF7" w:rsidRDefault="000F0EF7" w:rsidP="00DB75AA">
            <w:pPr>
              <w:spacing w:line="330" w:lineRule="atLeast"/>
              <w:rPr>
                <w:color w:val="000000"/>
                <w:sz w:val="21"/>
                <w:szCs w:val="21"/>
              </w:rPr>
            </w:pPr>
            <w:proofErr w:type="gramStart"/>
            <w:r>
              <w:rPr>
                <w:color w:val="000000"/>
                <w:sz w:val="21"/>
                <w:szCs w:val="21"/>
              </w:rPr>
              <w:t>10%</w:t>
            </w:r>
            <w:proofErr w:type="gramEnd"/>
          </w:p>
        </w:tc>
      </w:tr>
      <w:tr w:rsidR="000F0EF7" w14:paraId="52F6B2DE"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66CCD054" w14:textId="77777777" w:rsidR="000F0EF7" w:rsidRDefault="000F0EF7" w:rsidP="00DB75AA">
            <w:pPr>
              <w:spacing w:line="330" w:lineRule="atLeast"/>
              <w:rPr>
                <w:color w:val="000000"/>
                <w:sz w:val="21"/>
                <w:szCs w:val="21"/>
              </w:rPr>
            </w:pPr>
            <w:r>
              <w:rPr>
                <w:color w:val="000000"/>
                <w:sz w:val="21"/>
                <w:szCs w:val="21"/>
              </w:rPr>
              <w:t>Hotovost</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A61187B" w14:textId="77777777" w:rsidR="000F0EF7" w:rsidRDefault="000F0EF7" w:rsidP="00DB75AA">
            <w:pPr>
              <w:spacing w:line="330" w:lineRule="atLeast"/>
              <w:rPr>
                <w:color w:val="000000"/>
                <w:sz w:val="21"/>
                <w:szCs w:val="21"/>
              </w:rPr>
            </w:pPr>
            <w:r>
              <w:rPr>
                <w:color w:val="000000"/>
                <w:sz w:val="21"/>
                <w:szCs w:val="21"/>
              </w:rPr>
              <w:t>2.</w:t>
            </w:r>
            <w:proofErr w:type="gramStart"/>
            <w:r>
              <w:rPr>
                <w:color w:val="000000"/>
                <w:sz w:val="21"/>
                <w:szCs w:val="21"/>
              </w:rPr>
              <w:t>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9F50B16"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8B7341E" w14:textId="77777777" w:rsidR="000F0EF7" w:rsidRDefault="000F0EF7" w:rsidP="00DB75AA">
            <w:pPr>
              <w:spacing w:line="330" w:lineRule="atLeast"/>
              <w:rPr>
                <w:color w:val="000000"/>
                <w:sz w:val="21"/>
                <w:szCs w:val="21"/>
              </w:rPr>
            </w:pPr>
            <w:r>
              <w:rPr>
                <w:color w:val="000000"/>
                <w:sz w:val="21"/>
                <w:szCs w:val="21"/>
              </w:rPr>
              <w:t>3.</w:t>
            </w: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75736AC" w14:textId="77777777" w:rsidR="000F0EF7" w:rsidRDefault="000F0EF7" w:rsidP="00DB75AA">
            <w:pPr>
              <w:spacing w:line="330" w:lineRule="atLeast"/>
              <w:rPr>
                <w:color w:val="000000"/>
                <w:sz w:val="21"/>
                <w:szCs w:val="21"/>
              </w:rPr>
            </w:pP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7D91AD0" w14:textId="77777777" w:rsidR="000F0EF7" w:rsidRDefault="000F0EF7" w:rsidP="00DB75AA">
            <w:pPr>
              <w:spacing w:line="330" w:lineRule="atLeast"/>
              <w:rPr>
                <w:color w:val="000000"/>
                <w:sz w:val="21"/>
                <w:szCs w:val="21"/>
              </w:rPr>
            </w:pPr>
            <w:proofErr w:type="gramStart"/>
            <w:r>
              <w:rPr>
                <w:color w:val="000000"/>
                <w:sz w:val="21"/>
                <w:szCs w:val="21"/>
              </w:rPr>
              <w:t>6%</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EE64520" w14:textId="77777777" w:rsidR="000F0EF7" w:rsidRDefault="000F0EF7" w:rsidP="00DB75AA">
            <w:pPr>
              <w:spacing w:line="330" w:lineRule="atLeast"/>
              <w:rPr>
                <w:color w:val="000000"/>
                <w:sz w:val="21"/>
                <w:szCs w:val="21"/>
              </w:rPr>
            </w:pPr>
            <w:proofErr w:type="gramStart"/>
            <w:r>
              <w:rPr>
                <w:color w:val="000000"/>
                <w:sz w:val="21"/>
                <w:szCs w:val="21"/>
              </w:rPr>
              <w:t>10%</w:t>
            </w:r>
            <w:proofErr w:type="gramEnd"/>
          </w:p>
        </w:tc>
      </w:tr>
      <w:tr w:rsidR="000F0EF7" w14:paraId="0C1BEDFA"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5D38CB1C" w14:textId="77777777" w:rsidR="000F0EF7" w:rsidRDefault="000F0EF7" w:rsidP="00DB75AA">
            <w:pPr>
              <w:spacing w:line="330" w:lineRule="atLeast"/>
              <w:rPr>
                <w:color w:val="000000"/>
                <w:sz w:val="21"/>
                <w:szCs w:val="21"/>
              </w:rPr>
            </w:pPr>
            <w:r>
              <w:rPr>
                <w:color w:val="000000"/>
                <w:sz w:val="21"/>
                <w:szCs w:val="21"/>
              </w:rPr>
              <w:t>Zlato</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66D4D08E" w14:textId="77777777" w:rsidR="000F0EF7" w:rsidRDefault="000F0EF7" w:rsidP="00DB75AA">
            <w:pPr>
              <w:spacing w:line="330" w:lineRule="atLeast"/>
              <w:rPr>
                <w:color w:val="000000"/>
                <w:sz w:val="21"/>
                <w:szCs w:val="21"/>
              </w:rPr>
            </w:pPr>
            <w:r>
              <w:rPr>
                <w:color w:val="000000"/>
                <w:sz w:val="21"/>
                <w:szCs w:val="21"/>
              </w:rPr>
              <w:t>2.</w:t>
            </w:r>
            <w:proofErr w:type="gramStart"/>
            <w:r>
              <w:rPr>
                <w:color w:val="000000"/>
                <w:sz w:val="21"/>
                <w:szCs w:val="21"/>
              </w:rPr>
              <w:t>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D51BA32"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360C524" w14:textId="77777777" w:rsidR="000F0EF7" w:rsidRDefault="000F0EF7" w:rsidP="00DB75AA">
            <w:pPr>
              <w:spacing w:line="330" w:lineRule="atLeast"/>
              <w:rPr>
                <w:color w:val="000000"/>
                <w:sz w:val="21"/>
                <w:szCs w:val="21"/>
              </w:rPr>
            </w:pPr>
            <w:r>
              <w:rPr>
                <w:color w:val="000000"/>
                <w:sz w:val="21"/>
                <w:szCs w:val="21"/>
              </w:rPr>
              <w:t>-2.</w:t>
            </w:r>
            <w:proofErr w:type="gramStart"/>
            <w:r>
              <w:rPr>
                <w:color w:val="000000"/>
                <w:sz w:val="21"/>
                <w:szCs w:val="21"/>
              </w:rPr>
              <w:t>2%</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277B9AB"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461A8274"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20B71DD"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r>
      <w:tr w:rsidR="000F0EF7" w14:paraId="66D8A977"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26853643" w14:textId="77777777" w:rsidR="000F0EF7" w:rsidRDefault="000F0EF7" w:rsidP="00DB75AA">
            <w:pPr>
              <w:spacing w:line="330" w:lineRule="atLeast"/>
              <w:rPr>
                <w:color w:val="000000"/>
                <w:sz w:val="21"/>
                <w:szCs w:val="21"/>
              </w:rPr>
            </w:pPr>
            <w:r>
              <w:rPr>
                <w:color w:val="000000"/>
                <w:sz w:val="21"/>
                <w:szCs w:val="21"/>
              </w:rPr>
              <w:t>Vládní dluhopisy</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F7F79C7" w14:textId="77777777" w:rsidR="000F0EF7" w:rsidRDefault="000F0EF7" w:rsidP="00DB75AA">
            <w:pPr>
              <w:spacing w:line="330" w:lineRule="atLeast"/>
              <w:rPr>
                <w:color w:val="000000"/>
                <w:sz w:val="21"/>
                <w:szCs w:val="21"/>
              </w:rPr>
            </w:pPr>
            <w:proofErr w:type="gramStart"/>
            <w:r>
              <w:rPr>
                <w:color w:val="000000"/>
                <w:sz w:val="21"/>
                <w:szCs w:val="21"/>
              </w:rPr>
              <w:t>25%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386FA2E5" w14:textId="77777777" w:rsidR="000F0EF7" w:rsidRDefault="000F0EF7" w:rsidP="00DB75AA">
            <w:pPr>
              <w:spacing w:line="330" w:lineRule="atLeast"/>
              <w:rPr>
                <w:color w:val="000000"/>
                <w:sz w:val="21"/>
                <w:szCs w:val="21"/>
              </w:rPr>
            </w:pPr>
            <w:r>
              <w:rPr>
                <w:color w:val="000000"/>
                <w:sz w:val="21"/>
                <w:szCs w:val="21"/>
              </w:rPr>
              <w:t>10-</w:t>
            </w:r>
            <w:proofErr w:type="gramStart"/>
            <w:r>
              <w:rPr>
                <w:color w:val="000000"/>
                <w:sz w:val="21"/>
                <w:szCs w:val="21"/>
              </w:rPr>
              <w:t>40%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DC8F406" w14:textId="77777777" w:rsidR="000F0EF7" w:rsidRDefault="000F0EF7" w:rsidP="00DB75AA">
            <w:pPr>
              <w:spacing w:line="330" w:lineRule="atLeast"/>
              <w:rPr>
                <w:color w:val="000000"/>
                <w:sz w:val="21"/>
                <w:szCs w:val="21"/>
              </w:rPr>
            </w:pPr>
            <w:r>
              <w:rPr>
                <w:color w:val="000000"/>
                <w:sz w:val="21"/>
                <w:szCs w:val="21"/>
              </w:rPr>
              <w:t>3.</w:t>
            </w:r>
            <w:proofErr w:type="gramStart"/>
            <w:r>
              <w:rPr>
                <w:color w:val="000000"/>
                <w:sz w:val="21"/>
                <w:szCs w:val="21"/>
              </w:rPr>
              <w:t>7%</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14652F0" w14:textId="77777777" w:rsidR="000F0EF7" w:rsidRDefault="000F0EF7" w:rsidP="00DB75AA">
            <w:pPr>
              <w:spacing w:line="330" w:lineRule="atLeast"/>
              <w:rPr>
                <w:color w:val="000000"/>
                <w:sz w:val="21"/>
                <w:szCs w:val="21"/>
              </w:rPr>
            </w:pPr>
            <w:proofErr w:type="gramStart"/>
            <w:r>
              <w:rPr>
                <w:color w:val="000000"/>
                <w:sz w:val="21"/>
                <w:szCs w:val="21"/>
              </w:rPr>
              <w:t>40%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1E882F9" w14:textId="77777777" w:rsidR="000F0EF7" w:rsidRDefault="000F0EF7" w:rsidP="00DB75AA">
            <w:pPr>
              <w:spacing w:line="330" w:lineRule="atLeast"/>
              <w:rPr>
                <w:color w:val="000000"/>
                <w:sz w:val="21"/>
                <w:szCs w:val="21"/>
              </w:rPr>
            </w:pP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FF576BA" w14:textId="77777777" w:rsidR="000F0EF7" w:rsidRDefault="000F0EF7" w:rsidP="00DB75AA">
            <w:pPr>
              <w:spacing w:line="330" w:lineRule="atLeast"/>
              <w:rPr>
                <w:color w:val="000000"/>
                <w:sz w:val="21"/>
                <w:szCs w:val="21"/>
              </w:rPr>
            </w:pPr>
            <w:r>
              <w:rPr>
                <w:color w:val="000000"/>
                <w:sz w:val="21"/>
                <w:szCs w:val="21"/>
              </w:rPr>
              <w:t xml:space="preserve">↑ </w:t>
            </w:r>
            <w:proofErr w:type="gramStart"/>
            <w:r>
              <w:rPr>
                <w:color w:val="000000"/>
                <w:sz w:val="21"/>
                <w:szCs w:val="21"/>
              </w:rPr>
              <w:t>22%</w:t>
            </w:r>
            <w:proofErr w:type="gramEnd"/>
          </w:p>
        </w:tc>
      </w:tr>
      <w:tr w:rsidR="000F0EF7" w14:paraId="143E54A1"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20EA29A7" w14:textId="77777777" w:rsidR="000F0EF7" w:rsidRDefault="000F0EF7" w:rsidP="00DB75AA">
            <w:pPr>
              <w:spacing w:line="330" w:lineRule="atLeast"/>
              <w:rPr>
                <w:color w:val="000000"/>
                <w:sz w:val="21"/>
                <w:szCs w:val="21"/>
              </w:rPr>
            </w:pPr>
            <w:r>
              <w:rPr>
                <w:color w:val="000000"/>
                <w:sz w:val="21"/>
                <w:szCs w:val="21"/>
              </w:rPr>
              <w:t>Korporátní dluhopisy s investičním stupněm</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24CA2F7" w14:textId="77777777" w:rsidR="000F0EF7" w:rsidRDefault="000F0EF7" w:rsidP="00DB75AA">
            <w:pPr>
              <w:spacing w:line="330" w:lineRule="atLeast"/>
              <w:rPr>
                <w:color w:val="000000"/>
                <w:sz w:val="21"/>
                <w:szCs w:val="21"/>
              </w:rPr>
            </w:pP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6114B984"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20%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731DEA58" w14:textId="77777777" w:rsidR="000F0EF7" w:rsidRDefault="000F0EF7" w:rsidP="00DB75AA">
            <w:pPr>
              <w:spacing w:line="330" w:lineRule="atLeast"/>
              <w:rPr>
                <w:color w:val="000000"/>
                <w:sz w:val="21"/>
                <w:szCs w:val="21"/>
              </w:rPr>
            </w:pPr>
            <w:r>
              <w:rPr>
                <w:color w:val="000000"/>
                <w:sz w:val="21"/>
                <w:szCs w:val="21"/>
              </w:rPr>
              <w:t>5.</w:t>
            </w: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DB439AA" w14:textId="77777777" w:rsidR="000F0EF7" w:rsidRDefault="000F0EF7" w:rsidP="00DB75AA">
            <w:pPr>
              <w:spacing w:line="330" w:lineRule="atLeast"/>
              <w:rPr>
                <w:color w:val="000000"/>
                <w:sz w:val="21"/>
                <w:szCs w:val="21"/>
              </w:rPr>
            </w:pPr>
            <w:proofErr w:type="gramStart"/>
            <w:r>
              <w:rPr>
                <w:color w:val="000000"/>
                <w:sz w:val="21"/>
                <w:szCs w:val="21"/>
              </w:rPr>
              <w:t>17%</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661506CC" w14:textId="77777777" w:rsidR="000F0EF7" w:rsidRDefault="000F0EF7" w:rsidP="00DB75AA">
            <w:pPr>
              <w:spacing w:line="330" w:lineRule="atLeast"/>
              <w:rPr>
                <w:color w:val="000000"/>
                <w:sz w:val="21"/>
                <w:szCs w:val="21"/>
              </w:rPr>
            </w:pPr>
            <w:proofErr w:type="gramStart"/>
            <w:r>
              <w:rPr>
                <w:color w:val="000000"/>
                <w:sz w:val="21"/>
                <w:szCs w:val="21"/>
              </w:rPr>
              <w:t>20%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4FB2AA5B" w14:textId="77777777" w:rsidR="000F0EF7" w:rsidRDefault="000F0EF7" w:rsidP="00DB75AA">
            <w:pPr>
              <w:spacing w:line="330" w:lineRule="atLeast"/>
              <w:rPr>
                <w:color w:val="000000"/>
                <w:sz w:val="21"/>
                <w:szCs w:val="21"/>
              </w:rPr>
            </w:pPr>
            <w:proofErr w:type="gramStart"/>
            <w:r>
              <w:rPr>
                <w:color w:val="000000"/>
                <w:sz w:val="21"/>
                <w:szCs w:val="21"/>
              </w:rPr>
              <w:t>18%</w:t>
            </w:r>
            <w:proofErr w:type="gramEnd"/>
          </w:p>
        </w:tc>
      </w:tr>
      <w:tr w:rsidR="000F0EF7" w14:paraId="7F77944F"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364169B9" w14:textId="77777777" w:rsidR="000F0EF7" w:rsidRDefault="000F0EF7" w:rsidP="00DB75AA">
            <w:pPr>
              <w:spacing w:line="330" w:lineRule="atLeast"/>
              <w:rPr>
                <w:color w:val="000000"/>
                <w:sz w:val="21"/>
                <w:szCs w:val="21"/>
              </w:rPr>
            </w:pPr>
            <w:r>
              <w:rPr>
                <w:color w:val="000000"/>
                <w:sz w:val="21"/>
                <w:szCs w:val="21"/>
              </w:rPr>
              <w:t>Korporátní dluhopisy s vysokým výnosem</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681B1C2" w14:textId="77777777" w:rsidR="000F0EF7" w:rsidRDefault="000F0EF7" w:rsidP="00DB75AA">
            <w:pPr>
              <w:spacing w:line="330" w:lineRule="atLeast"/>
              <w:rPr>
                <w:color w:val="000000"/>
                <w:sz w:val="21"/>
                <w:szCs w:val="21"/>
              </w:rPr>
            </w:pPr>
            <w:proofErr w:type="gramStart"/>
            <w:r>
              <w:rPr>
                <w:color w:val="000000"/>
                <w:sz w:val="21"/>
                <w:szCs w:val="21"/>
              </w:rPr>
              <w:t>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388D00E5"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4682B7C" w14:textId="77777777" w:rsidR="000F0EF7" w:rsidRDefault="000F0EF7" w:rsidP="00DB75AA">
            <w:pPr>
              <w:spacing w:line="330" w:lineRule="atLeast"/>
              <w:rPr>
                <w:color w:val="000000"/>
                <w:sz w:val="21"/>
                <w:szCs w:val="21"/>
              </w:rPr>
            </w:pPr>
            <w:r>
              <w:rPr>
                <w:color w:val="000000"/>
                <w:sz w:val="21"/>
                <w:szCs w:val="21"/>
              </w:rPr>
              <w:t>5.</w:t>
            </w:r>
            <w:proofErr w:type="gramStart"/>
            <w:r>
              <w:rPr>
                <w:color w:val="000000"/>
                <w:sz w:val="21"/>
                <w:szCs w:val="21"/>
              </w:rPr>
              <w:t>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7B58E2CD"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C01B980" w14:textId="77777777" w:rsidR="000F0EF7" w:rsidRDefault="000F0EF7" w:rsidP="00DB75AA">
            <w:pPr>
              <w:spacing w:line="330" w:lineRule="atLeast"/>
              <w:rPr>
                <w:color w:val="000000"/>
                <w:sz w:val="21"/>
                <w:szCs w:val="21"/>
              </w:rPr>
            </w:pPr>
            <w:proofErr w:type="gramStart"/>
            <w:r>
              <w:rPr>
                <w:color w:val="000000"/>
                <w:sz w:val="21"/>
                <w:szCs w:val="21"/>
              </w:rPr>
              <w:t>10%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936340D" w14:textId="77777777" w:rsidR="000F0EF7" w:rsidRDefault="000F0EF7" w:rsidP="00DB75AA">
            <w:pPr>
              <w:spacing w:line="330" w:lineRule="atLeast"/>
              <w:rPr>
                <w:color w:val="000000"/>
                <w:sz w:val="21"/>
                <w:szCs w:val="21"/>
              </w:rPr>
            </w:pPr>
            <w:r>
              <w:rPr>
                <w:color w:val="000000"/>
                <w:sz w:val="21"/>
                <w:szCs w:val="21"/>
              </w:rPr>
              <w:t>↓ </w:t>
            </w:r>
            <w:proofErr w:type="gramStart"/>
            <w:r>
              <w:rPr>
                <w:color w:val="000000"/>
                <w:sz w:val="21"/>
                <w:szCs w:val="21"/>
              </w:rPr>
              <w:t>5%</w:t>
            </w:r>
            <w:proofErr w:type="gramEnd"/>
          </w:p>
        </w:tc>
      </w:tr>
      <w:tr w:rsidR="000F0EF7" w14:paraId="01A0A55D"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2981A6BE" w14:textId="77777777" w:rsidR="000F0EF7" w:rsidRDefault="000F0EF7" w:rsidP="00DB75AA">
            <w:pPr>
              <w:spacing w:line="330" w:lineRule="atLeast"/>
              <w:rPr>
                <w:color w:val="000000"/>
                <w:sz w:val="21"/>
                <w:szCs w:val="21"/>
              </w:rPr>
            </w:pPr>
            <w:r>
              <w:rPr>
                <w:color w:val="000000"/>
                <w:sz w:val="21"/>
                <w:szCs w:val="21"/>
              </w:rPr>
              <w:t>Bankovní půjčky</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6DE68D3B" w14:textId="77777777" w:rsidR="000F0EF7" w:rsidRDefault="000F0EF7" w:rsidP="00DB75AA">
            <w:pPr>
              <w:spacing w:line="330" w:lineRule="atLeast"/>
              <w:rPr>
                <w:color w:val="000000"/>
                <w:sz w:val="21"/>
                <w:szCs w:val="21"/>
              </w:rPr>
            </w:pPr>
            <w:proofErr w:type="gramStart"/>
            <w:r>
              <w:rPr>
                <w:color w:val="000000"/>
                <w:sz w:val="21"/>
                <w:szCs w:val="21"/>
              </w:rPr>
              <w:t>4%</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40C4F1D7"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E7EA40A" w14:textId="77777777" w:rsidR="000F0EF7" w:rsidRDefault="000F0EF7" w:rsidP="00DB75AA">
            <w:pPr>
              <w:spacing w:line="330" w:lineRule="atLeast"/>
              <w:rPr>
                <w:color w:val="000000"/>
                <w:sz w:val="21"/>
                <w:szCs w:val="21"/>
              </w:rPr>
            </w:pPr>
            <w:r>
              <w:rPr>
                <w:color w:val="000000"/>
                <w:sz w:val="21"/>
                <w:szCs w:val="21"/>
              </w:rPr>
              <w:t>8.</w:t>
            </w:r>
            <w:proofErr w:type="gramStart"/>
            <w:r>
              <w:rPr>
                <w:color w:val="000000"/>
                <w:sz w:val="21"/>
                <w:szCs w:val="21"/>
              </w:rPr>
              <w:t>4%</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3B67F2CB" w14:textId="77777777" w:rsidR="000F0EF7" w:rsidRDefault="000F0EF7" w:rsidP="00DB75AA">
            <w:pPr>
              <w:spacing w:line="330" w:lineRule="atLeast"/>
              <w:rPr>
                <w:color w:val="000000"/>
                <w:sz w:val="21"/>
                <w:szCs w:val="21"/>
              </w:rPr>
            </w:pP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DDA2373" w14:textId="77777777" w:rsidR="000F0EF7" w:rsidRDefault="000F0EF7" w:rsidP="00DB75AA">
            <w:pPr>
              <w:spacing w:line="330" w:lineRule="atLeast"/>
              <w:rPr>
                <w:color w:val="000000"/>
                <w:sz w:val="21"/>
                <w:szCs w:val="21"/>
              </w:rPr>
            </w:pP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48EB41D" w14:textId="77777777" w:rsidR="000F0EF7" w:rsidRDefault="000F0EF7" w:rsidP="00DB75AA">
            <w:pPr>
              <w:spacing w:line="330" w:lineRule="atLeast"/>
              <w:rPr>
                <w:color w:val="000000"/>
                <w:sz w:val="21"/>
                <w:szCs w:val="21"/>
              </w:rPr>
            </w:pPr>
            <w:r>
              <w:rPr>
                <w:color w:val="000000"/>
                <w:sz w:val="21"/>
                <w:szCs w:val="21"/>
              </w:rPr>
              <w:t xml:space="preserve">↑ </w:t>
            </w:r>
            <w:proofErr w:type="gramStart"/>
            <w:r>
              <w:rPr>
                <w:color w:val="000000"/>
                <w:sz w:val="21"/>
                <w:szCs w:val="21"/>
              </w:rPr>
              <w:t>6%</w:t>
            </w:r>
            <w:proofErr w:type="gramEnd"/>
          </w:p>
        </w:tc>
      </w:tr>
      <w:tr w:rsidR="000F0EF7" w14:paraId="48DE90D2"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0AF498AF" w14:textId="77777777" w:rsidR="000F0EF7" w:rsidRDefault="000F0EF7" w:rsidP="00DB75AA">
            <w:pPr>
              <w:spacing w:line="330" w:lineRule="atLeast"/>
              <w:rPr>
                <w:color w:val="000000"/>
                <w:sz w:val="21"/>
                <w:szCs w:val="21"/>
              </w:rPr>
            </w:pPr>
            <w:r>
              <w:rPr>
                <w:color w:val="000000"/>
                <w:sz w:val="21"/>
                <w:szCs w:val="21"/>
              </w:rPr>
              <w:lastRenderedPageBreak/>
              <w:t>Akcie</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64923861" w14:textId="77777777" w:rsidR="000F0EF7" w:rsidRDefault="000F0EF7" w:rsidP="00DB75AA">
            <w:pPr>
              <w:spacing w:line="330" w:lineRule="atLeast"/>
              <w:rPr>
                <w:color w:val="000000"/>
                <w:sz w:val="21"/>
                <w:szCs w:val="21"/>
              </w:rPr>
            </w:pPr>
            <w:proofErr w:type="gramStart"/>
            <w:r>
              <w:rPr>
                <w:color w:val="000000"/>
                <w:sz w:val="21"/>
                <w:szCs w:val="21"/>
              </w:rPr>
              <w:t>45%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889DF87" w14:textId="77777777" w:rsidR="000F0EF7" w:rsidRDefault="000F0EF7" w:rsidP="00DB75AA">
            <w:pPr>
              <w:spacing w:line="330" w:lineRule="atLeast"/>
              <w:rPr>
                <w:color w:val="000000"/>
                <w:sz w:val="21"/>
                <w:szCs w:val="21"/>
              </w:rPr>
            </w:pPr>
            <w:r>
              <w:rPr>
                <w:color w:val="000000"/>
                <w:sz w:val="21"/>
                <w:szCs w:val="21"/>
              </w:rPr>
              <w:t>25-</w:t>
            </w:r>
            <w:proofErr w:type="gramStart"/>
            <w:r>
              <w:rPr>
                <w:color w:val="000000"/>
                <w:sz w:val="21"/>
                <w:szCs w:val="21"/>
              </w:rPr>
              <w:t>65%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3C5130FC" w14:textId="77777777" w:rsidR="000F0EF7" w:rsidRDefault="000F0EF7" w:rsidP="00DB75AA">
            <w:pPr>
              <w:spacing w:line="330" w:lineRule="atLeast"/>
              <w:rPr>
                <w:color w:val="000000"/>
                <w:sz w:val="21"/>
                <w:szCs w:val="21"/>
              </w:rPr>
            </w:pPr>
            <w:r>
              <w:rPr>
                <w:color w:val="000000"/>
                <w:sz w:val="21"/>
                <w:szCs w:val="21"/>
              </w:rPr>
              <w:t>4.</w:t>
            </w:r>
            <w:proofErr w:type="gramStart"/>
            <w:r>
              <w:rPr>
                <w:color w:val="000000"/>
                <w:sz w:val="21"/>
                <w:szCs w:val="21"/>
              </w:rPr>
              <w:t>6%</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1D0FF74" w14:textId="77777777" w:rsidR="000F0EF7" w:rsidRDefault="000F0EF7" w:rsidP="00DB75AA">
            <w:pPr>
              <w:spacing w:line="330" w:lineRule="atLeast"/>
              <w:rPr>
                <w:color w:val="000000"/>
                <w:sz w:val="21"/>
                <w:szCs w:val="21"/>
              </w:rPr>
            </w:pPr>
            <w:proofErr w:type="gramStart"/>
            <w:r>
              <w:rPr>
                <w:color w:val="000000"/>
                <w:sz w:val="21"/>
                <w:szCs w:val="21"/>
              </w:rPr>
              <w:t>25%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19E4B8B2" w14:textId="77777777" w:rsidR="000F0EF7" w:rsidRDefault="000F0EF7" w:rsidP="00DB75AA">
            <w:pPr>
              <w:spacing w:line="330" w:lineRule="atLeast"/>
              <w:rPr>
                <w:color w:val="000000"/>
                <w:sz w:val="21"/>
                <w:szCs w:val="21"/>
              </w:rPr>
            </w:pPr>
            <w:proofErr w:type="gramStart"/>
            <w:r>
              <w:rPr>
                <w:color w:val="000000"/>
                <w:sz w:val="21"/>
                <w:szCs w:val="21"/>
              </w:rPr>
              <w:t>38%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768E36F0" w14:textId="77777777" w:rsidR="000F0EF7" w:rsidRDefault="000F0EF7" w:rsidP="00DB75AA">
            <w:pPr>
              <w:spacing w:line="330" w:lineRule="atLeast"/>
              <w:rPr>
                <w:color w:val="000000"/>
                <w:sz w:val="21"/>
                <w:szCs w:val="21"/>
              </w:rPr>
            </w:pPr>
            <w:proofErr w:type="gramStart"/>
            <w:r>
              <w:rPr>
                <w:color w:val="000000"/>
                <w:sz w:val="21"/>
                <w:szCs w:val="21"/>
              </w:rPr>
              <w:t>34%</w:t>
            </w:r>
            <w:proofErr w:type="gramEnd"/>
          </w:p>
        </w:tc>
      </w:tr>
      <w:tr w:rsidR="000F0EF7" w14:paraId="63D3B07E"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1D66970B" w14:textId="77777777" w:rsidR="000F0EF7" w:rsidRDefault="000F0EF7" w:rsidP="00DB75AA">
            <w:pPr>
              <w:spacing w:line="330" w:lineRule="atLeast"/>
              <w:rPr>
                <w:color w:val="000000"/>
                <w:sz w:val="21"/>
                <w:szCs w:val="21"/>
              </w:rPr>
            </w:pPr>
            <w:r>
              <w:rPr>
                <w:color w:val="000000"/>
                <w:sz w:val="21"/>
                <w:szCs w:val="21"/>
              </w:rPr>
              <w:t>Nemovitosti</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3BD30CE" w14:textId="77777777" w:rsidR="000F0EF7" w:rsidRDefault="000F0EF7" w:rsidP="00DB75AA">
            <w:pPr>
              <w:spacing w:line="330" w:lineRule="atLeast"/>
              <w:rPr>
                <w:color w:val="000000"/>
                <w:sz w:val="21"/>
                <w:szCs w:val="21"/>
              </w:rPr>
            </w:pPr>
            <w:proofErr w:type="gramStart"/>
            <w:r>
              <w:rPr>
                <w:color w:val="000000"/>
                <w:sz w:val="21"/>
                <w:szCs w:val="21"/>
              </w:rPr>
              <w:t>4%</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C05FDF8"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5CECD03C" w14:textId="77777777" w:rsidR="000F0EF7" w:rsidRDefault="000F0EF7" w:rsidP="00DB75AA">
            <w:pPr>
              <w:spacing w:line="330" w:lineRule="atLeast"/>
              <w:rPr>
                <w:color w:val="000000"/>
                <w:sz w:val="21"/>
                <w:szCs w:val="21"/>
              </w:rPr>
            </w:pPr>
            <w:r>
              <w:rPr>
                <w:color w:val="000000"/>
                <w:sz w:val="21"/>
                <w:szCs w:val="21"/>
              </w:rPr>
              <w:t>6.</w:t>
            </w:r>
            <w:proofErr w:type="gramStart"/>
            <w:r>
              <w:rPr>
                <w:color w:val="000000"/>
                <w:sz w:val="21"/>
                <w:szCs w:val="21"/>
              </w:rPr>
              <w:t>5%</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3FD7008"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CBF9B67" w14:textId="77777777" w:rsidR="000F0EF7" w:rsidRDefault="000F0EF7" w:rsidP="00DB75AA">
            <w:pPr>
              <w:spacing w:line="330" w:lineRule="atLeast"/>
              <w:rPr>
                <w:color w:val="000000"/>
                <w:sz w:val="21"/>
                <w:szCs w:val="21"/>
              </w:rPr>
            </w:pPr>
            <w:proofErr w:type="gramStart"/>
            <w:r>
              <w:rPr>
                <w:color w:val="000000"/>
                <w:sz w:val="21"/>
                <w:szCs w:val="21"/>
              </w:rPr>
              <w:t>8%</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4DB9969C" w14:textId="77777777" w:rsidR="000F0EF7" w:rsidRDefault="000F0EF7" w:rsidP="00DB75AA">
            <w:pPr>
              <w:spacing w:line="330" w:lineRule="atLeast"/>
              <w:rPr>
                <w:color w:val="000000"/>
                <w:sz w:val="21"/>
                <w:szCs w:val="21"/>
              </w:rPr>
            </w:pPr>
            <w:proofErr w:type="gramStart"/>
            <w:r>
              <w:rPr>
                <w:color w:val="000000"/>
                <w:sz w:val="21"/>
                <w:szCs w:val="21"/>
              </w:rPr>
              <w:t>5%</w:t>
            </w:r>
            <w:proofErr w:type="gramEnd"/>
          </w:p>
        </w:tc>
      </w:tr>
      <w:tr w:rsidR="000F0EF7" w14:paraId="2D974A72" w14:textId="77777777" w:rsidTr="00DB75AA">
        <w:tc>
          <w:tcPr>
            <w:tcW w:w="0" w:type="auto"/>
            <w:tcBorders>
              <w:top w:val="outset" w:sz="2" w:space="0" w:color="auto"/>
              <w:left w:val="outset" w:sz="2" w:space="0" w:color="auto"/>
              <w:bottom w:val="single" w:sz="6" w:space="0" w:color="F0F0F0"/>
              <w:right w:val="outset" w:sz="2" w:space="0" w:color="auto"/>
            </w:tcBorders>
            <w:shd w:val="clear" w:color="auto" w:fill="F6F6F6"/>
            <w:hideMark/>
          </w:tcPr>
          <w:p w14:paraId="4B26B919" w14:textId="77777777" w:rsidR="000F0EF7" w:rsidRDefault="000F0EF7" w:rsidP="00DB75AA">
            <w:pPr>
              <w:spacing w:line="330" w:lineRule="atLeast"/>
              <w:rPr>
                <w:color w:val="000000"/>
                <w:sz w:val="21"/>
                <w:szCs w:val="21"/>
              </w:rPr>
            </w:pPr>
            <w:r>
              <w:rPr>
                <w:color w:val="000000"/>
                <w:sz w:val="21"/>
                <w:szCs w:val="21"/>
              </w:rPr>
              <w:t>Komodity</w:t>
            </w:r>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797E06E" w14:textId="77777777" w:rsidR="000F0EF7" w:rsidRDefault="000F0EF7" w:rsidP="00DB75AA">
            <w:pPr>
              <w:spacing w:line="330" w:lineRule="atLeast"/>
              <w:rPr>
                <w:color w:val="000000"/>
                <w:sz w:val="21"/>
                <w:szCs w:val="21"/>
              </w:rPr>
            </w:pPr>
            <w:proofErr w:type="gramStart"/>
            <w:r>
              <w:rPr>
                <w:color w:val="000000"/>
                <w:sz w:val="21"/>
                <w:szCs w:val="21"/>
              </w:rPr>
              <w:t>2%</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0889A877" w14:textId="77777777" w:rsidR="000F0EF7" w:rsidRDefault="000F0EF7" w:rsidP="00DB75AA">
            <w:pPr>
              <w:spacing w:line="330" w:lineRule="atLeast"/>
              <w:rPr>
                <w:color w:val="000000"/>
                <w:sz w:val="21"/>
                <w:szCs w:val="21"/>
              </w:rPr>
            </w:pPr>
            <w:r>
              <w:rPr>
                <w:color w:val="000000"/>
                <w:sz w:val="21"/>
                <w:szCs w:val="21"/>
              </w:rPr>
              <w:t>0-</w:t>
            </w:r>
            <w:proofErr w:type="gramStart"/>
            <w:r>
              <w:rPr>
                <w:color w:val="000000"/>
                <w:sz w:val="21"/>
                <w:szCs w:val="21"/>
              </w:rPr>
              <w:t>4%</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410A22B" w14:textId="77777777" w:rsidR="000F0EF7" w:rsidRDefault="000F0EF7" w:rsidP="00DB75AA">
            <w:pPr>
              <w:spacing w:line="330" w:lineRule="atLeast"/>
              <w:rPr>
                <w:color w:val="000000"/>
                <w:sz w:val="21"/>
                <w:szCs w:val="21"/>
              </w:rPr>
            </w:pPr>
            <w:r>
              <w:rPr>
                <w:color w:val="000000"/>
                <w:sz w:val="21"/>
                <w:szCs w:val="21"/>
              </w:rPr>
              <w:t>-2.</w:t>
            </w:r>
            <w:proofErr w:type="gramStart"/>
            <w:r>
              <w:rPr>
                <w:color w:val="000000"/>
                <w:sz w:val="21"/>
                <w:szCs w:val="21"/>
              </w:rPr>
              <w:t>7%</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2D2A034B"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3FCD2C83"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c>
          <w:tcPr>
            <w:tcW w:w="0" w:type="auto"/>
            <w:tcBorders>
              <w:top w:val="outset" w:sz="2" w:space="0" w:color="auto"/>
              <w:left w:val="outset" w:sz="2" w:space="0" w:color="auto"/>
              <w:bottom w:val="single" w:sz="6" w:space="0" w:color="F0F0F0"/>
              <w:right w:val="outset" w:sz="2" w:space="0" w:color="auto"/>
            </w:tcBorders>
            <w:tcMar>
              <w:top w:w="300" w:type="dxa"/>
              <w:left w:w="300" w:type="dxa"/>
              <w:bottom w:w="300" w:type="dxa"/>
              <w:right w:w="300" w:type="dxa"/>
            </w:tcMar>
            <w:hideMark/>
          </w:tcPr>
          <w:p w14:paraId="3D317661" w14:textId="77777777" w:rsidR="000F0EF7" w:rsidRDefault="000F0EF7" w:rsidP="00DB75AA">
            <w:pPr>
              <w:spacing w:line="330" w:lineRule="atLeast"/>
              <w:rPr>
                <w:color w:val="000000"/>
                <w:sz w:val="21"/>
                <w:szCs w:val="21"/>
              </w:rPr>
            </w:pPr>
            <w:proofErr w:type="gramStart"/>
            <w:r>
              <w:rPr>
                <w:color w:val="000000"/>
                <w:sz w:val="21"/>
                <w:szCs w:val="21"/>
              </w:rPr>
              <w:t>0%</w:t>
            </w:r>
            <w:proofErr w:type="gramEnd"/>
          </w:p>
        </w:tc>
      </w:tr>
    </w:tbl>
    <w:p w14:paraId="2E73AE46" w14:textId="1CCCEAD3" w:rsidR="00B65FF5" w:rsidRPr="000F0EF7" w:rsidRDefault="000F0EF7" w:rsidP="000F0EF7">
      <w:pPr>
        <w:pStyle w:val="Normlnweb"/>
        <w:rPr>
          <w:rFonts w:ascii="Invesco Interstate Light" w:eastAsiaTheme="minorEastAsia" w:hAnsi="Invesco Interstate Light"/>
          <w:i/>
          <w:iCs/>
          <w:sz w:val="20"/>
          <w:szCs w:val="20"/>
          <w:lang w:eastAsia="de-DE"/>
        </w:rPr>
      </w:pPr>
      <w:r w:rsidRPr="000F0EF7">
        <w:rPr>
          <w:rFonts w:ascii="Invesco Interstate Light" w:eastAsiaTheme="minorEastAsia" w:hAnsi="Invesco Interstate Light"/>
          <w:i/>
          <w:iCs/>
          <w:sz w:val="20"/>
          <w:szCs w:val="20"/>
          <w:lang w:eastAsia="de-DE"/>
        </w:rPr>
        <w:t xml:space="preserve">Zdroj: </w:t>
      </w:r>
      <w:proofErr w:type="spellStart"/>
      <w:r w:rsidRPr="000F0EF7">
        <w:rPr>
          <w:rFonts w:ascii="Invesco Interstate Light" w:eastAsiaTheme="minorEastAsia" w:hAnsi="Invesco Interstate Light"/>
          <w:i/>
          <w:iCs/>
          <w:sz w:val="20"/>
          <w:szCs w:val="20"/>
          <w:lang w:eastAsia="de-DE"/>
        </w:rPr>
        <w:t>Invesco</w:t>
      </w:r>
      <w:proofErr w:type="spellEnd"/>
      <w:r w:rsidRPr="000F0EF7">
        <w:rPr>
          <w:rFonts w:ascii="Invesco Interstate Light" w:eastAsiaTheme="minorEastAsia" w:hAnsi="Invesco Interstate Light"/>
          <w:i/>
          <w:iCs/>
          <w:sz w:val="20"/>
          <w:szCs w:val="20"/>
          <w:lang w:eastAsia="de-DE"/>
        </w:rPr>
        <w:t xml:space="preserve"> </w:t>
      </w:r>
      <w:proofErr w:type="spellStart"/>
      <w:r w:rsidRPr="000F0EF7">
        <w:rPr>
          <w:rFonts w:ascii="Invesco Interstate Light" w:eastAsiaTheme="minorEastAsia" w:hAnsi="Invesco Interstate Light"/>
          <w:i/>
          <w:iCs/>
          <w:sz w:val="20"/>
          <w:szCs w:val="20"/>
          <w:lang w:eastAsia="de-DE"/>
        </w:rPr>
        <w:t>Global</w:t>
      </w:r>
      <w:proofErr w:type="spellEnd"/>
      <w:r w:rsidRPr="000F0EF7">
        <w:rPr>
          <w:rFonts w:ascii="Invesco Interstate Light" w:eastAsiaTheme="minorEastAsia" w:hAnsi="Invesco Interstate Light"/>
          <w:i/>
          <w:iCs/>
          <w:sz w:val="20"/>
          <w:szCs w:val="20"/>
          <w:lang w:eastAsia="de-DE"/>
        </w:rPr>
        <w:t xml:space="preserve"> Market </w:t>
      </w:r>
      <w:proofErr w:type="spellStart"/>
      <w:r w:rsidRPr="000F0EF7">
        <w:rPr>
          <w:rFonts w:ascii="Invesco Interstate Light" w:eastAsiaTheme="minorEastAsia" w:hAnsi="Invesco Interstate Light"/>
          <w:i/>
          <w:iCs/>
          <w:sz w:val="20"/>
          <w:szCs w:val="20"/>
          <w:lang w:eastAsia="de-DE"/>
        </w:rPr>
        <w:t>Strategy</w:t>
      </w:r>
      <w:proofErr w:type="spellEnd"/>
      <w:r w:rsidRPr="000F0EF7">
        <w:rPr>
          <w:rFonts w:ascii="Invesco Interstate Light" w:eastAsiaTheme="minorEastAsia" w:hAnsi="Invesco Interstate Light"/>
          <w:i/>
          <w:iCs/>
          <w:sz w:val="20"/>
          <w:szCs w:val="20"/>
          <w:lang w:eastAsia="de-DE"/>
        </w:rPr>
        <w:t xml:space="preserve"> office. Jedná se o teoretické portfolio a slouží pouze pro ilustraci.</w:t>
      </w:r>
    </w:p>
    <w:p w14:paraId="7C5950E7" w14:textId="77777777" w:rsidR="000F0EF7" w:rsidRPr="000F0EF7" w:rsidRDefault="000F0EF7" w:rsidP="000F0EF7">
      <w:pPr>
        <w:pStyle w:val="Normlnweb"/>
        <w:jc w:val="both"/>
        <w:rPr>
          <w:rFonts w:ascii="Invesco Interstate Light" w:eastAsiaTheme="minorEastAsia" w:hAnsi="Invesco Interstate Light"/>
          <w:sz w:val="22"/>
          <w:szCs w:val="22"/>
          <w:lang w:eastAsia="de-DE"/>
        </w:rPr>
      </w:pPr>
      <w:r w:rsidRPr="000F0EF7">
        <w:rPr>
          <w:rFonts w:ascii="Invesco Interstate Light" w:eastAsiaTheme="minorEastAsia" w:hAnsi="Invesco Interstate Light"/>
          <w:sz w:val="22"/>
          <w:szCs w:val="22"/>
          <w:lang w:eastAsia="de-DE"/>
        </w:rPr>
        <w:t xml:space="preserve">Z regionálního hlediska se nám líbí rozvíjející se trhy (atraktivní spready), ale jsme neutrální ve Velké Británii a </w:t>
      </w:r>
      <w:proofErr w:type="spellStart"/>
      <w:r w:rsidRPr="000F0EF7">
        <w:rPr>
          <w:rFonts w:ascii="Invesco Interstate Light" w:eastAsiaTheme="minorEastAsia" w:hAnsi="Invesco Interstate Light"/>
          <w:sz w:val="22"/>
          <w:szCs w:val="22"/>
          <w:lang w:eastAsia="de-DE"/>
        </w:rPr>
        <w:t>podvážení</w:t>
      </w:r>
      <w:proofErr w:type="spellEnd"/>
      <w:r w:rsidRPr="000F0EF7">
        <w:rPr>
          <w:rFonts w:ascii="Invesco Interstate Light" w:eastAsiaTheme="minorEastAsia" w:hAnsi="Invesco Interstate Light"/>
          <w:sz w:val="22"/>
          <w:szCs w:val="22"/>
          <w:lang w:eastAsia="de-DE"/>
        </w:rPr>
        <w:t xml:space="preserve"> v Japonsku a eurozóně.</w:t>
      </w:r>
    </w:p>
    <w:p w14:paraId="381FCDFD" w14:textId="77777777" w:rsidR="000F0EF7" w:rsidRPr="000F0EF7" w:rsidRDefault="000F0EF7" w:rsidP="000F0EF7">
      <w:pPr>
        <w:pStyle w:val="Normlnweb"/>
        <w:jc w:val="both"/>
        <w:rPr>
          <w:rFonts w:ascii="Invesco Interstate Light" w:eastAsiaTheme="minorEastAsia" w:hAnsi="Invesco Interstate Light"/>
          <w:sz w:val="22"/>
          <w:szCs w:val="22"/>
          <w:lang w:eastAsia="de-DE"/>
        </w:rPr>
      </w:pPr>
      <w:r w:rsidRPr="000F0EF7">
        <w:rPr>
          <w:rFonts w:ascii="Invesco Interstate Light" w:eastAsiaTheme="minorEastAsia" w:hAnsi="Invesco Interstate Light"/>
          <w:sz w:val="22"/>
          <w:szCs w:val="22"/>
          <w:lang w:eastAsia="de-DE"/>
        </w:rPr>
        <w:t xml:space="preserve">V USA i v Evropě jsme </w:t>
      </w:r>
      <w:proofErr w:type="spellStart"/>
      <w:r w:rsidRPr="000F0EF7">
        <w:rPr>
          <w:rFonts w:ascii="Invesco Interstate Light" w:eastAsiaTheme="minorEastAsia" w:hAnsi="Invesco Interstate Light"/>
          <w:sz w:val="22"/>
          <w:szCs w:val="22"/>
          <w:lang w:eastAsia="de-DE"/>
        </w:rPr>
        <w:t>nadvážení</w:t>
      </w:r>
      <w:proofErr w:type="spellEnd"/>
      <w:r w:rsidRPr="000F0EF7">
        <w:rPr>
          <w:rFonts w:ascii="Invesco Interstate Light" w:eastAsiaTheme="minorEastAsia" w:hAnsi="Invesco Interstate Light"/>
          <w:sz w:val="22"/>
          <w:szCs w:val="22"/>
          <w:lang w:eastAsia="de-DE"/>
        </w:rPr>
        <w:t>. Může se zdát, že jsme snížili alokaci nemovitostí (</w:t>
      </w:r>
      <w:proofErr w:type="spellStart"/>
      <w:r w:rsidRPr="000F0EF7">
        <w:rPr>
          <w:rFonts w:ascii="Invesco Interstate Light" w:eastAsiaTheme="minorEastAsia" w:hAnsi="Invesco Interstate Light"/>
          <w:sz w:val="22"/>
          <w:szCs w:val="22"/>
          <w:lang w:eastAsia="de-DE"/>
        </w:rPr>
        <w:t>REITs</w:t>
      </w:r>
      <w:proofErr w:type="spellEnd"/>
      <w:r w:rsidRPr="000F0EF7">
        <w:rPr>
          <w:rFonts w:ascii="Invesco Interstate Light" w:eastAsiaTheme="minorEastAsia" w:hAnsi="Invesco Interstate Light"/>
          <w:sz w:val="22"/>
          <w:szCs w:val="22"/>
          <w:lang w:eastAsia="de-DE"/>
        </w:rPr>
        <w:t xml:space="preserve">) (z 10 % na 5 %), ale to pouze odráží snížení neutrální alokace (z 8 % na 4 %) tak, aby se přizpůsobila třídě aktiv bankovních úvěrů. Proto zůstáváme v kategorii </w:t>
      </w:r>
      <w:proofErr w:type="spellStart"/>
      <w:r w:rsidRPr="000F0EF7">
        <w:rPr>
          <w:rFonts w:ascii="Invesco Interstate Light" w:eastAsiaTheme="minorEastAsia" w:hAnsi="Invesco Interstate Light"/>
          <w:sz w:val="22"/>
          <w:szCs w:val="22"/>
          <w:lang w:eastAsia="de-DE"/>
        </w:rPr>
        <w:t>Overweight</w:t>
      </w:r>
      <w:proofErr w:type="spellEnd"/>
      <w:r w:rsidRPr="000F0EF7">
        <w:rPr>
          <w:rFonts w:ascii="Invesco Interstate Light" w:eastAsiaTheme="minorEastAsia" w:hAnsi="Invesco Interstate Light"/>
          <w:sz w:val="22"/>
          <w:szCs w:val="22"/>
          <w:lang w:eastAsia="de-DE"/>
        </w:rPr>
        <w:t>, i když jsme provedli některé regionální změny (přidali jsme Japonsku a eurozóně a snížili USA a EM).</w:t>
      </w:r>
    </w:p>
    <w:p w14:paraId="0CD046E5" w14:textId="77777777" w:rsidR="000F0EF7" w:rsidRPr="000F0EF7" w:rsidRDefault="000F0EF7" w:rsidP="000F0EF7">
      <w:pPr>
        <w:spacing w:line="240" w:lineRule="auto"/>
        <w:jc w:val="both"/>
        <w:rPr>
          <w:rFonts w:ascii="Invesco Interstate Light" w:eastAsiaTheme="minorEastAsia" w:hAnsi="Invesco Interstate Light"/>
          <w:sz w:val="22"/>
          <w:szCs w:val="22"/>
        </w:rPr>
      </w:pPr>
      <w:r w:rsidRPr="000F0EF7">
        <w:rPr>
          <w:rFonts w:ascii="Invesco Interstate Light" w:eastAsiaTheme="minorEastAsia" w:hAnsi="Invesco Interstate Light"/>
          <w:sz w:val="22"/>
          <w:szCs w:val="22"/>
        </w:rPr>
        <w:t>Náš model zachovává maximální alokaci hotovosti (10 % oproti neutrálním 2,5 %). Sazby centrálních bank nadále rostou a my se domníváme, že hotovost nyní nabízí slušný výnosový potenciál spolu s atraktivními diverzifikačními charakteristikami.</w:t>
      </w:r>
    </w:p>
    <w:p w14:paraId="5C443572" w14:textId="77777777" w:rsidR="00B65FF5" w:rsidRDefault="00B65FF5" w:rsidP="00B65FF5">
      <w:pPr>
        <w:spacing w:line="276" w:lineRule="auto"/>
        <w:jc w:val="both"/>
        <w:rPr>
          <w:rFonts w:ascii="Invesco Interstate Light" w:eastAsiaTheme="minorEastAsia" w:hAnsi="Invesco Interstate Light"/>
          <w:sz w:val="22"/>
          <w:szCs w:val="22"/>
        </w:rPr>
      </w:pPr>
    </w:p>
    <w:p w14:paraId="0E0C92B1" w14:textId="57657B40" w:rsidR="00B65FF5" w:rsidRDefault="000F0EF7" w:rsidP="00B65FF5">
      <w:pPr>
        <w:spacing w:line="276" w:lineRule="auto"/>
        <w:jc w:val="both"/>
        <w:rPr>
          <w:rFonts w:ascii="Invesco Interstate Light" w:eastAsiaTheme="minorEastAsia" w:hAnsi="Invesco Interstate Light"/>
          <w:sz w:val="22"/>
          <w:szCs w:val="22"/>
        </w:rPr>
      </w:pPr>
      <w:r w:rsidRPr="000F0EF7">
        <w:rPr>
          <w:rFonts w:ascii="Invesco Interstate Light" w:eastAsiaTheme="minorEastAsia" w:hAnsi="Invesco Interstate Light"/>
          <w:sz w:val="22"/>
          <w:szCs w:val="22"/>
        </w:rPr>
        <w:t xml:space="preserve">Dalším diverzifikačním aktivem, které zvažujeme, je zlato. To si však vedlo tak dobře, že pochybujeme, že si dokáže udržet vyšší cenu. Proto jej ponecháváme na nulové hodnotě. Na nule ponecháváme i alokaci komodit, což je důsledek očekávaného cyklického oslabení a cen, které v mnoha případech považujeme za příliš vysoké. Zachováváme </w:t>
      </w:r>
      <w:proofErr w:type="gramStart"/>
      <w:r w:rsidRPr="000F0EF7">
        <w:rPr>
          <w:rFonts w:ascii="Invesco Interstate Light" w:eastAsiaTheme="minorEastAsia" w:hAnsi="Invesco Interstate Light"/>
          <w:sz w:val="22"/>
          <w:szCs w:val="22"/>
        </w:rPr>
        <w:t>18%</w:t>
      </w:r>
      <w:proofErr w:type="gramEnd"/>
      <w:r w:rsidRPr="000F0EF7">
        <w:rPr>
          <w:rFonts w:ascii="Invesco Interstate Light" w:eastAsiaTheme="minorEastAsia" w:hAnsi="Invesco Interstate Light"/>
          <w:sz w:val="22"/>
          <w:szCs w:val="22"/>
        </w:rPr>
        <w:t xml:space="preserve"> </w:t>
      </w:r>
      <w:proofErr w:type="spellStart"/>
      <w:r w:rsidRPr="000F0EF7">
        <w:rPr>
          <w:rFonts w:ascii="Invesco Interstate Light" w:eastAsiaTheme="minorEastAsia" w:hAnsi="Invesco Interstate Light"/>
          <w:sz w:val="22"/>
          <w:szCs w:val="22"/>
        </w:rPr>
        <w:t>nadváženou</w:t>
      </w:r>
      <w:proofErr w:type="spellEnd"/>
      <w:r w:rsidRPr="000F0EF7">
        <w:rPr>
          <w:rFonts w:ascii="Invesco Interstate Light" w:eastAsiaTheme="minorEastAsia" w:hAnsi="Invesco Interstate Light"/>
          <w:sz w:val="22"/>
          <w:szCs w:val="22"/>
        </w:rPr>
        <w:t xml:space="preserve"> alokaci do dluhopisů investičního stupně (IG) oproti neutrálním 10 %. Očekáváme lepší výnosy než u státních dluhopisů nebo HY.</w:t>
      </w:r>
    </w:p>
    <w:p w14:paraId="3011A967" w14:textId="77777777" w:rsidR="000F0EF7" w:rsidRDefault="000F0EF7" w:rsidP="00B65FF5">
      <w:pPr>
        <w:spacing w:line="276" w:lineRule="auto"/>
        <w:jc w:val="both"/>
        <w:rPr>
          <w:rFonts w:ascii="Invesco Interstate Light" w:eastAsiaTheme="minorEastAsia" w:hAnsi="Invesco Interstate Light"/>
          <w:sz w:val="22"/>
          <w:szCs w:val="22"/>
        </w:rPr>
      </w:pPr>
    </w:p>
    <w:p w14:paraId="2E93C7E7" w14:textId="7668C65A" w:rsidR="000F0EF7" w:rsidRDefault="000F0EF7" w:rsidP="00B65FF5">
      <w:pPr>
        <w:spacing w:line="276" w:lineRule="auto"/>
        <w:jc w:val="both"/>
        <w:rPr>
          <w:rFonts w:ascii="Invesco Interstate Light" w:eastAsiaTheme="minorEastAsia" w:hAnsi="Invesco Interstate Light"/>
          <w:sz w:val="22"/>
          <w:szCs w:val="22"/>
        </w:rPr>
      </w:pPr>
      <w:r w:rsidRPr="000F0EF7">
        <w:rPr>
          <w:rFonts w:ascii="Invesco Interstate Light" w:eastAsiaTheme="minorEastAsia" w:hAnsi="Invesco Interstate Light"/>
          <w:sz w:val="22"/>
          <w:szCs w:val="22"/>
        </w:rPr>
        <w:t>Rovněž poznamenáváme, že IG má tendenci dosahovat relativně dobrých výsledků, když Fed začne uvolňovat.</w:t>
      </w:r>
    </w:p>
    <w:p w14:paraId="141E0635" w14:textId="77777777" w:rsidR="000F0EF7" w:rsidRDefault="000F0EF7" w:rsidP="00B65FF5">
      <w:pPr>
        <w:spacing w:line="276" w:lineRule="auto"/>
        <w:jc w:val="both"/>
        <w:rPr>
          <w:rFonts w:ascii="Invesco Interstate Light" w:eastAsiaTheme="minorEastAsia" w:hAnsi="Invesco Interstate Light"/>
          <w:sz w:val="22"/>
          <w:szCs w:val="22"/>
        </w:rPr>
      </w:pPr>
    </w:p>
    <w:p w14:paraId="3D6BE264" w14:textId="77777777" w:rsidR="000F0EF7" w:rsidRDefault="000F0EF7" w:rsidP="000F0EF7">
      <w:pPr>
        <w:spacing w:line="240" w:lineRule="auto"/>
        <w:jc w:val="both"/>
        <w:rPr>
          <w:rFonts w:ascii="Invesco Interstate Light" w:eastAsiaTheme="minorEastAsia" w:hAnsi="Invesco Interstate Light"/>
          <w:sz w:val="22"/>
          <w:szCs w:val="22"/>
        </w:rPr>
      </w:pPr>
      <w:r w:rsidRPr="000F0EF7">
        <w:rPr>
          <w:rFonts w:ascii="Invesco Interstate Light" w:eastAsiaTheme="minorEastAsia" w:hAnsi="Invesco Interstate Light"/>
          <w:sz w:val="22"/>
          <w:szCs w:val="22"/>
        </w:rPr>
        <w:t xml:space="preserve">Naším oblíbeným regionem jsou rozvíjející se trhy, ale líbí se nám také IG v USA a Velké Británii. Alokaci akcií jsme nezměnili a zůstáváme </w:t>
      </w:r>
      <w:proofErr w:type="spellStart"/>
      <w:r w:rsidRPr="000F0EF7">
        <w:rPr>
          <w:rFonts w:ascii="Invesco Interstate Light" w:eastAsiaTheme="minorEastAsia" w:hAnsi="Invesco Interstate Light"/>
          <w:sz w:val="22"/>
          <w:szCs w:val="22"/>
        </w:rPr>
        <w:t>podvážení</w:t>
      </w:r>
      <w:proofErr w:type="spellEnd"/>
      <w:r w:rsidRPr="000F0EF7">
        <w:rPr>
          <w:rFonts w:ascii="Invesco Interstate Light" w:eastAsiaTheme="minorEastAsia" w:hAnsi="Invesco Interstate Light"/>
          <w:sz w:val="22"/>
          <w:szCs w:val="22"/>
        </w:rPr>
        <w:t xml:space="preserve"> s nezměněnou </w:t>
      </w:r>
      <w:proofErr w:type="gramStart"/>
      <w:r w:rsidRPr="000F0EF7">
        <w:rPr>
          <w:rFonts w:ascii="Invesco Interstate Light" w:eastAsiaTheme="minorEastAsia" w:hAnsi="Invesco Interstate Light"/>
          <w:sz w:val="22"/>
          <w:szCs w:val="22"/>
        </w:rPr>
        <w:t>34%</w:t>
      </w:r>
      <w:proofErr w:type="gramEnd"/>
      <w:r w:rsidRPr="000F0EF7">
        <w:rPr>
          <w:rFonts w:ascii="Invesco Interstate Light" w:eastAsiaTheme="minorEastAsia" w:hAnsi="Invesco Interstate Light"/>
          <w:sz w:val="22"/>
          <w:szCs w:val="22"/>
        </w:rPr>
        <w:t xml:space="preserve"> alokací. Vzhledem ke zpomalujícím se ekonomikám a rostoucím výnosům dluhopisů nás překvapují nedávné zisky.</w:t>
      </w:r>
    </w:p>
    <w:p w14:paraId="28A8BB80" w14:textId="77777777" w:rsidR="000F0EF7" w:rsidRDefault="000F0EF7" w:rsidP="000F0EF7">
      <w:pPr>
        <w:spacing w:line="240" w:lineRule="auto"/>
        <w:jc w:val="both"/>
        <w:rPr>
          <w:rFonts w:ascii="Invesco Interstate Light" w:eastAsiaTheme="minorEastAsia" w:hAnsi="Invesco Interstate Light"/>
          <w:sz w:val="22"/>
          <w:szCs w:val="22"/>
        </w:rPr>
      </w:pPr>
    </w:p>
    <w:p w14:paraId="7F1076A2" w14:textId="77777777" w:rsidR="000F0EF7" w:rsidRPr="000F0EF7" w:rsidRDefault="000F0EF7" w:rsidP="000F0EF7">
      <w:pPr>
        <w:spacing w:line="240" w:lineRule="auto"/>
        <w:jc w:val="both"/>
        <w:rPr>
          <w:rFonts w:ascii="Invesco Interstate Light" w:eastAsiaTheme="minorEastAsia" w:hAnsi="Invesco Interstate Light"/>
          <w:sz w:val="22"/>
          <w:szCs w:val="22"/>
        </w:rPr>
      </w:pPr>
      <w:r w:rsidRPr="000F0EF7">
        <w:rPr>
          <w:rFonts w:ascii="Invesco Interstate Light" w:eastAsiaTheme="minorEastAsia" w:hAnsi="Invesco Interstate Light"/>
          <w:sz w:val="22"/>
          <w:szCs w:val="22"/>
        </w:rPr>
        <w:t xml:space="preserve">Akcie na rozvojových trzích zůstávají </w:t>
      </w:r>
      <w:proofErr w:type="spellStart"/>
      <w:r w:rsidRPr="000F0EF7">
        <w:rPr>
          <w:rFonts w:ascii="Invesco Interstate Light" w:eastAsiaTheme="minorEastAsia" w:hAnsi="Invesco Interstate Light"/>
          <w:sz w:val="22"/>
          <w:szCs w:val="22"/>
        </w:rPr>
        <w:t>nadvážené</w:t>
      </w:r>
      <w:proofErr w:type="spellEnd"/>
      <w:r w:rsidRPr="000F0EF7">
        <w:rPr>
          <w:rFonts w:ascii="Invesco Interstate Light" w:eastAsiaTheme="minorEastAsia" w:hAnsi="Invesco Interstate Light"/>
          <w:sz w:val="22"/>
          <w:szCs w:val="22"/>
        </w:rPr>
        <w:t xml:space="preserve"> (zejména Čína) a velkou </w:t>
      </w:r>
      <w:proofErr w:type="spellStart"/>
      <w:r w:rsidRPr="000F0EF7">
        <w:rPr>
          <w:rFonts w:ascii="Invesco Interstate Light" w:eastAsiaTheme="minorEastAsia" w:hAnsi="Invesco Interstate Light"/>
          <w:sz w:val="22"/>
          <w:szCs w:val="22"/>
        </w:rPr>
        <w:t>podváženou</w:t>
      </w:r>
      <w:proofErr w:type="spellEnd"/>
      <w:r w:rsidRPr="000F0EF7">
        <w:rPr>
          <w:rFonts w:ascii="Invesco Interstate Light" w:eastAsiaTheme="minorEastAsia" w:hAnsi="Invesco Interstate Light"/>
          <w:sz w:val="22"/>
          <w:szCs w:val="22"/>
        </w:rPr>
        <w:t xml:space="preserve"> položkou jsou USA (12 % oproti neutrálním 25 %). Japonsko snižujeme na </w:t>
      </w:r>
      <w:proofErr w:type="spellStart"/>
      <w:r w:rsidRPr="000F0EF7">
        <w:rPr>
          <w:rFonts w:ascii="Invesco Interstate Light" w:eastAsiaTheme="minorEastAsia" w:hAnsi="Invesco Interstate Light"/>
          <w:sz w:val="22"/>
          <w:szCs w:val="22"/>
        </w:rPr>
        <w:t>podvážené</w:t>
      </w:r>
      <w:proofErr w:type="spellEnd"/>
      <w:r w:rsidRPr="000F0EF7">
        <w:rPr>
          <w:rFonts w:ascii="Invesco Interstate Light" w:eastAsiaTheme="minorEastAsia" w:hAnsi="Invesco Interstate Light"/>
          <w:sz w:val="22"/>
          <w:szCs w:val="22"/>
        </w:rPr>
        <w:t xml:space="preserve"> (po silném výkonu) a přidáváme do eurozóny (</w:t>
      </w:r>
      <w:proofErr w:type="spellStart"/>
      <w:r w:rsidRPr="000F0EF7">
        <w:rPr>
          <w:rFonts w:ascii="Invesco Interstate Light" w:eastAsiaTheme="minorEastAsia" w:hAnsi="Invesco Interstate Light"/>
          <w:sz w:val="22"/>
          <w:szCs w:val="22"/>
        </w:rPr>
        <w:t>Overweight</w:t>
      </w:r>
      <w:proofErr w:type="spellEnd"/>
      <w:r w:rsidRPr="000F0EF7">
        <w:rPr>
          <w:rFonts w:ascii="Invesco Interstate Light" w:eastAsiaTheme="minorEastAsia" w:hAnsi="Invesco Interstate Light"/>
          <w:sz w:val="22"/>
          <w:szCs w:val="22"/>
        </w:rPr>
        <w:t>). Z regionálního hlediska upřednostňujeme aktiva EM, zejména proto, že si myslíme, že jsou levná, ale také jako zajištění pro případ, že by se globální ekonomice dařilo lépe, než očekáváme. Nakonec očekáváme posílení jenu a zachováváme částečné zajištění z amerického dolaru.</w:t>
      </w: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9A4D" w14:textId="77777777" w:rsidR="0094453D" w:rsidRDefault="0094453D">
      <w:r>
        <w:separator/>
      </w:r>
    </w:p>
  </w:endnote>
  <w:endnote w:type="continuationSeparator" w:id="0">
    <w:p w14:paraId="2D21DB13" w14:textId="77777777" w:rsidR="0094453D" w:rsidRDefault="0094453D">
      <w:r>
        <w:continuationSeparator/>
      </w:r>
    </w:p>
  </w:endnote>
  <w:endnote w:type="continuationNotice" w:id="1">
    <w:p w14:paraId="173C6B52" w14:textId="77777777" w:rsidR="0094453D" w:rsidRDefault="009445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7AAA" w14:textId="77777777" w:rsidR="0094453D" w:rsidRDefault="0094453D">
      <w:r>
        <w:separator/>
      </w:r>
    </w:p>
  </w:footnote>
  <w:footnote w:type="continuationSeparator" w:id="0">
    <w:p w14:paraId="4B20D291" w14:textId="77777777" w:rsidR="0094453D" w:rsidRDefault="0094453D">
      <w:r>
        <w:continuationSeparator/>
      </w:r>
    </w:p>
  </w:footnote>
  <w:footnote w:type="continuationNotice" w:id="1">
    <w:p w14:paraId="7D07502D" w14:textId="77777777" w:rsidR="0094453D" w:rsidRDefault="009445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6027772D" w:rsidR="00702C33" w:rsidRPr="000730A6" w:rsidRDefault="00334096" w:rsidP="0083625E">
    <w:pPr>
      <w:pStyle w:val="Zhlav"/>
      <w:pBdr>
        <w:top w:val="single" w:sz="4" w:space="3" w:color="auto"/>
      </w:pBdr>
      <w:spacing w:line="298" w:lineRule="exact"/>
      <w:ind w:left="3402"/>
      <w:jc w:val="right"/>
      <w:rPr>
        <w:color w:val="000000"/>
        <w:sz w:val="28"/>
        <w:szCs w:val="28"/>
      </w:rPr>
    </w:pPr>
    <w:r>
      <w:rPr>
        <w:color w:val="000000"/>
        <w:sz w:val="28"/>
        <w:szCs w:val="28"/>
      </w:rPr>
      <w:t>06</w:t>
    </w:r>
    <w:r w:rsidR="0083625E">
      <w:rPr>
        <w:color w:val="000000"/>
        <w:sz w:val="28"/>
        <w:szCs w:val="28"/>
      </w:rPr>
      <w:t>.</w:t>
    </w:r>
    <w:r>
      <w:rPr>
        <w:color w:val="000000"/>
        <w:sz w:val="28"/>
        <w:szCs w:val="28"/>
      </w:rPr>
      <w:t>10</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30B23"/>
    <w:multiLevelType w:val="multilevel"/>
    <w:tmpl w:val="11820CCE"/>
    <w:numStyleLink w:val="FormatvorlageAufgezhlt"/>
  </w:abstractNum>
  <w:abstractNum w:abstractNumId="1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D403C3"/>
    <w:multiLevelType w:val="multilevel"/>
    <w:tmpl w:val="11820CCE"/>
    <w:numStyleLink w:val="FormatvorlageAufgezhlt"/>
  </w:abstractNum>
  <w:abstractNum w:abstractNumId="21" w15:restartNumberingAfterBreak="0">
    <w:nsid w:val="6C6C4721"/>
    <w:multiLevelType w:val="multilevel"/>
    <w:tmpl w:val="11820CCE"/>
    <w:numStyleLink w:val="FormatvorlageAufgezhlt"/>
  </w:abstractNum>
  <w:abstractNum w:abstractNumId="2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E5380B"/>
    <w:multiLevelType w:val="multilevel"/>
    <w:tmpl w:val="11820CCE"/>
    <w:numStyleLink w:val="FormatvorlageAufgezhlt"/>
  </w:abstractNum>
  <w:abstractNum w:abstractNumId="24"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1"/>
  </w:num>
  <w:num w:numId="3" w16cid:durableId="1282105589">
    <w:abstractNumId w:val="18"/>
  </w:num>
  <w:num w:numId="4" w16cid:durableId="1617441895">
    <w:abstractNumId w:val="12"/>
  </w:num>
  <w:num w:numId="5" w16cid:durableId="1267425896">
    <w:abstractNumId w:val="14"/>
  </w:num>
  <w:num w:numId="6" w16cid:durableId="1792238606">
    <w:abstractNumId w:val="20"/>
  </w:num>
  <w:num w:numId="7" w16cid:durableId="190919629">
    <w:abstractNumId w:val="21"/>
  </w:num>
  <w:num w:numId="8" w16cid:durableId="2083285618">
    <w:abstractNumId w:val="1"/>
  </w:num>
  <w:num w:numId="9" w16cid:durableId="1653213567">
    <w:abstractNumId w:val="23"/>
  </w:num>
  <w:num w:numId="10" w16cid:durableId="849561851">
    <w:abstractNumId w:val="10"/>
  </w:num>
  <w:num w:numId="11" w16cid:durableId="1899129255">
    <w:abstractNumId w:val="4"/>
  </w:num>
  <w:num w:numId="12" w16cid:durableId="13484078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8"/>
  </w:num>
  <w:num w:numId="14" w16cid:durableId="2009676695">
    <w:abstractNumId w:val="29"/>
  </w:num>
  <w:num w:numId="15" w16cid:durableId="1629623239">
    <w:abstractNumId w:val="17"/>
  </w:num>
  <w:num w:numId="16" w16cid:durableId="1975720235">
    <w:abstractNumId w:val="6"/>
  </w:num>
  <w:num w:numId="17" w16cid:durableId="103501300">
    <w:abstractNumId w:val="2"/>
  </w:num>
  <w:num w:numId="18" w16cid:durableId="1434014312">
    <w:abstractNumId w:val="19"/>
  </w:num>
  <w:num w:numId="19" w16cid:durableId="832065860">
    <w:abstractNumId w:val="22"/>
  </w:num>
  <w:num w:numId="20" w16cid:durableId="667943464">
    <w:abstractNumId w:val="26"/>
  </w:num>
  <w:num w:numId="21" w16cid:durableId="225343112">
    <w:abstractNumId w:val="25"/>
  </w:num>
  <w:num w:numId="22" w16cid:durableId="1319532336">
    <w:abstractNumId w:val="9"/>
  </w:num>
  <w:num w:numId="23" w16cid:durableId="1341154147">
    <w:abstractNumId w:val="16"/>
  </w:num>
  <w:num w:numId="24" w16cid:durableId="796413596">
    <w:abstractNumId w:val="13"/>
  </w:num>
  <w:num w:numId="25" w16cid:durableId="2010979537">
    <w:abstractNumId w:val="27"/>
  </w:num>
  <w:num w:numId="26" w16cid:durableId="951936802">
    <w:abstractNumId w:val="15"/>
  </w:num>
  <w:num w:numId="27" w16cid:durableId="1672954226">
    <w:abstractNumId w:val="3"/>
  </w:num>
  <w:num w:numId="28" w16cid:durableId="953906591">
    <w:abstractNumId w:val="5"/>
  </w:num>
  <w:num w:numId="29" w16cid:durableId="923606003">
    <w:abstractNumId w:val="24"/>
  </w:num>
  <w:num w:numId="30" w16cid:durableId="251279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6320</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2023-10-06T07:38:00Z</dcterms:created>
  <dcterms:modified xsi:type="dcterms:W3CDTF">2023-10-06T07:38:00Z</dcterms:modified>
</cp:coreProperties>
</file>