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B06" w14:textId="5BFE13E2"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F51E20">
        <w:rPr>
          <w:rFonts w:ascii="Invesco Interstate Bold" w:hAnsi="Invesco Interstate Bold"/>
          <w:b/>
          <w:bCs/>
          <w:sz w:val="28"/>
          <w:szCs w:val="28"/>
        </w:rPr>
        <w:t>Ani vojenské konflikty nezmařily dlouhodobý růst akcií</w:t>
      </w:r>
    </w:p>
    <w:p w14:paraId="4DEAA6BE" w14:textId="6093EBBA" w:rsidR="001F6A31" w:rsidRDefault="00007632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Analýza</w:t>
      </w:r>
      <w:r w:rsidR="001F6A31" w:rsidRPr="001F6A31"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r w:rsidR="00F51E20">
        <w:rPr>
          <w:rFonts w:ascii="Invesco Interstate Bold" w:hAnsi="Invesco Interstate Bold"/>
          <w:b/>
          <w:bCs/>
          <w:sz w:val="24"/>
          <w:szCs w:val="24"/>
        </w:rPr>
        <w:t xml:space="preserve">Briana </w:t>
      </w:r>
      <w:proofErr w:type="spellStart"/>
      <w:r w:rsidR="00F51E20">
        <w:rPr>
          <w:rFonts w:ascii="Invesco Interstate Bold" w:hAnsi="Invesco Interstate Bold"/>
          <w:b/>
          <w:bCs/>
          <w:sz w:val="24"/>
          <w:szCs w:val="24"/>
        </w:rPr>
        <w:t>Levitta</w:t>
      </w:r>
      <w:proofErr w:type="spellEnd"/>
      <w:r w:rsidR="001F6A31" w:rsidRPr="001F6A31">
        <w:rPr>
          <w:rFonts w:ascii="Invesco Interstate Bold" w:hAnsi="Invesco Interstate Bold"/>
          <w:b/>
          <w:bCs/>
          <w:sz w:val="24"/>
          <w:szCs w:val="24"/>
        </w:rPr>
        <w:t>, strat</w:t>
      </w:r>
      <w:r w:rsidR="00F51E20">
        <w:rPr>
          <w:rFonts w:ascii="Invesco Interstate Bold" w:hAnsi="Invesco Interstate Bold"/>
          <w:b/>
          <w:bCs/>
          <w:sz w:val="24"/>
          <w:szCs w:val="24"/>
        </w:rPr>
        <w:t>ég</w:t>
      </w:r>
      <w:r>
        <w:rPr>
          <w:rFonts w:ascii="Invesco Interstate Bold" w:hAnsi="Invesco Interstate Bold"/>
          <w:b/>
          <w:bCs/>
          <w:sz w:val="24"/>
          <w:szCs w:val="24"/>
        </w:rPr>
        <w:t>a</w:t>
      </w:r>
      <w:r w:rsidR="001F6A31" w:rsidRPr="001F6A31">
        <w:rPr>
          <w:rFonts w:ascii="Invesco Interstate Bold" w:hAnsi="Invesco Interstate Bold"/>
          <w:b/>
          <w:bCs/>
          <w:sz w:val="24"/>
          <w:szCs w:val="24"/>
        </w:rPr>
        <w:t xml:space="preserve"> pro globální trhy, </w:t>
      </w:r>
      <w:proofErr w:type="spellStart"/>
      <w:r w:rsidR="001F6A31" w:rsidRPr="001F6A31"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 w:rsidR="001F6A31" w:rsidRPr="001F6A31">
        <w:rPr>
          <w:rFonts w:ascii="Invesco Interstate Bold" w:hAnsi="Invesco Interstate Bold"/>
          <w:b/>
          <w:bCs/>
          <w:sz w:val="24"/>
          <w:szCs w:val="24"/>
        </w:rPr>
        <w:t xml:space="preserve"> Ltd.</w:t>
      </w:r>
    </w:p>
    <w:p w14:paraId="2D968AA3" w14:textId="6508A0E6" w:rsidR="00F51E20" w:rsidRPr="001F6A31" w:rsidRDefault="00F51E20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Historie se skládá z náročných období. Trhy zažily za více než 120 l</w:t>
      </w:r>
      <w:r w:rsidR="00A6770C">
        <w:rPr>
          <w:rFonts w:ascii="Invesco Interstate Bold" w:hAnsi="Invesco Interstate Bold"/>
          <w:b/>
          <w:bCs/>
          <w:sz w:val="24"/>
          <w:szCs w:val="24"/>
        </w:rPr>
        <w:t>et dlouhý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vzestup navzdory válkám, recesi, ropným šokům, politickým atentátům a mnohému dalšímu. Ačkoli válečné konflikty testují odhodlání investorů držet se svého investičního plánu, historie naznačuje, že tyto události dlouhodobý růst finančních trhů nezmařily. Prosíme investory, aby zachovali dlouhodobou perspektivu.</w:t>
      </w:r>
    </w:p>
    <w:p w14:paraId="2A98DF9A" w14:textId="77B67752" w:rsidR="00F51E20" w:rsidRPr="00A92778" w:rsidRDefault="00F51E20" w:rsidP="00F51E20">
      <w:pPr>
        <w:spacing w:before="100" w:beforeAutospacing="1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Výnosy akciových trhů po geopolitických konfliktech</w:t>
      </w:r>
    </w:p>
    <w:p w14:paraId="41885D00" w14:textId="210CAF47" w:rsidR="00071945" w:rsidRPr="00071945" w:rsidRDefault="00F51E20" w:rsidP="0007194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Pokud existuje faktor, který ovlivňuje výkonnost trhu, existuje i index, který ho měří. Geopolitické riziko není výjimkou. Následující graf znázorňuje 11 bodů v historii, kdy jsme zažili </w:t>
      </w:r>
      <w:r w:rsidR="00754DC1">
        <w:rPr>
          <w:rFonts w:ascii="Invesco Interstate Light" w:eastAsiaTheme="minorEastAsia" w:hAnsi="Invesco Interstate Light"/>
          <w:sz w:val="22"/>
          <w:szCs w:val="22"/>
        </w:rPr>
        <w:t>vrchol indexu geopolitického rizika, a ukazuje výnos indexu S</w:t>
      </w:r>
      <w:r w:rsidR="00754DC1" w:rsidRPr="00754DC1">
        <w:rPr>
          <w:rFonts w:ascii="Invesco Interstate Light" w:eastAsiaTheme="minorEastAsia" w:hAnsi="Invesco Interstate Light"/>
          <w:sz w:val="22"/>
          <w:szCs w:val="22"/>
        </w:rPr>
        <w:t>&amp;P 500 12 měsíců po tomto vrcholu. Ve většině případů akciový</w:t>
      </w:r>
      <w:r w:rsidR="00754DC1">
        <w:rPr>
          <w:rFonts w:ascii="Invesco Interstate Light" w:eastAsiaTheme="minorEastAsia" w:hAnsi="Invesco Interstate Light"/>
          <w:sz w:val="22"/>
          <w:szCs w:val="22"/>
        </w:rPr>
        <w:t xml:space="preserve"> trh v roce následujícím po vrcholu geopolitického rizika výrazně vzrostl. </w:t>
      </w:r>
    </w:p>
    <w:p w14:paraId="040FC914" w14:textId="74738A60" w:rsidR="00754DC1" w:rsidRPr="00A92778" w:rsidRDefault="00754DC1" w:rsidP="00754DC1">
      <w:pPr>
        <w:spacing w:before="100" w:beforeAutospacing="1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Graf 1: Akcie dosáhly 12 měsíců po vrcholu geopolitického rizika značných výnosů</w:t>
      </w:r>
    </w:p>
    <w:p w14:paraId="19F15AE3" w14:textId="77777777" w:rsidR="00007632" w:rsidRDefault="00754DC1" w:rsidP="00007632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</w:rPr>
      </w:pPr>
      <w:r w:rsidRPr="00D04F7E">
        <w:rPr>
          <w:rFonts w:ascii="Arial" w:hAnsi="Arial" w:cs="Arial"/>
          <w:noProof/>
          <w:color w:val="000000"/>
        </w:rPr>
        <w:drawing>
          <wp:inline distT="0" distB="0" distL="0" distR="0" wp14:anchorId="64EB8245" wp14:editId="39F16CB4">
            <wp:extent cx="5760720" cy="3309620"/>
            <wp:effectExtent l="0" t="0" r="0" b="5080"/>
            <wp:docPr id="1180952896" name="Obrázek 1" descr="Obsah obrázku text, snímek obrazovky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952896" name="Obrázek 1" descr="Obsah obrázku text, snímek obrazovky, diagram, Vykreslený graf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4B13A" w14:textId="06E4FE03" w:rsidR="00071945" w:rsidRDefault="00754DC1" w:rsidP="00007632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007632">
        <w:rPr>
          <w:rFonts w:ascii="Invesco Interstate Light" w:eastAsiaTheme="minorEastAsia" w:hAnsi="Invesco Interstate Light"/>
          <w:i/>
          <w:iCs/>
        </w:rPr>
        <w:t xml:space="preserve">Zdroje: </w:t>
      </w:r>
      <w:proofErr w:type="spellStart"/>
      <w:r w:rsidRPr="00007632">
        <w:rPr>
          <w:rFonts w:ascii="Invesco Interstate Light" w:eastAsiaTheme="minorEastAsia" w:hAnsi="Invesco Interstate Light"/>
          <w:i/>
          <w:iCs/>
        </w:rPr>
        <w:t>Bloomberg</w:t>
      </w:r>
      <w:proofErr w:type="spellEnd"/>
      <w:r w:rsidRPr="00007632">
        <w:rPr>
          <w:rFonts w:ascii="Invesco Interstate Light" w:eastAsiaTheme="minorEastAsia" w:hAnsi="Invesco Interstate Light"/>
          <w:i/>
          <w:iCs/>
        </w:rPr>
        <w:t xml:space="preserve"> a </w:t>
      </w:r>
      <w:proofErr w:type="spellStart"/>
      <w:r w:rsidRPr="00007632">
        <w:rPr>
          <w:rFonts w:ascii="Invesco Interstate Light" w:eastAsiaTheme="minorEastAsia" w:hAnsi="Invesco Interstate Light"/>
          <w:i/>
          <w:iCs/>
        </w:rPr>
        <w:t>Economic</w:t>
      </w:r>
      <w:proofErr w:type="spellEnd"/>
      <w:r w:rsidRPr="00007632">
        <w:rPr>
          <w:rFonts w:ascii="Invesco Interstate Light" w:eastAsiaTheme="minorEastAsia" w:hAnsi="Invesco Interstate Light"/>
          <w:i/>
          <w:iCs/>
        </w:rPr>
        <w:t xml:space="preserve"> </w:t>
      </w:r>
      <w:proofErr w:type="spellStart"/>
      <w:r w:rsidRPr="00007632">
        <w:rPr>
          <w:rFonts w:ascii="Invesco Interstate Light" w:eastAsiaTheme="minorEastAsia" w:hAnsi="Invesco Interstate Light"/>
          <w:i/>
          <w:iCs/>
        </w:rPr>
        <w:t>Policy</w:t>
      </w:r>
      <w:proofErr w:type="spellEnd"/>
      <w:r w:rsidRPr="00007632">
        <w:rPr>
          <w:rFonts w:ascii="Invesco Interstate Light" w:eastAsiaTheme="minorEastAsia" w:hAnsi="Invesco Interstate Light"/>
          <w:i/>
          <w:iCs/>
        </w:rPr>
        <w:t xml:space="preserve"> </w:t>
      </w:r>
      <w:proofErr w:type="spellStart"/>
      <w:r w:rsidRPr="00007632">
        <w:rPr>
          <w:rFonts w:ascii="Invesco Interstate Light" w:eastAsiaTheme="minorEastAsia" w:hAnsi="Invesco Interstate Light"/>
          <w:i/>
          <w:iCs/>
        </w:rPr>
        <w:t>Uncertainty</w:t>
      </w:r>
      <w:proofErr w:type="spellEnd"/>
      <w:r w:rsidRPr="00007632">
        <w:rPr>
          <w:rFonts w:ascii="Invesco Interstate Light" w:eastAsiaTheme="minorEastAsia" w:hAnsi="Invesco Interstate Light"/>
          <w:i/>
          <w:iCs/>
        </w:rPr>
        <w:t xml:space="preserve">, 15. října 2023. Index geopolitického rizika vychází z počtu článků týkajících se nepříznivých </w:t>
      </w:r>
      <w:r w:rsidR="00007632" w:rsidRPr="00007632">
        <w:rPr>
          <w:rFonts w:ascii="Invesco Interstate Light" w:eastAsiaTheme="minorEastAsia" w:hAnsi="Invesco Interstate Light"/>
          <w:i/>
          <w:iCs/>
        </w:rPr>
        <w:t>geopolitických událostí v 10 různých novinách. Do indexu nelze přímo investovat. Minulá výkonnost nezaručuje budoucí výsledky.</w:t>
      </w:r>
      <w:r w:rsidR="00007632" w:rsidRPr="00007632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</w:p>
    <w:p w14:paraId="392CEC61" w14:textId="77777777" w:rsidR="00007632" w:rsidRDefault="00007632" w:rsidP="00007632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iCs/>
          <w:sz w:val="22"/>
          <w:szCs w:val="22"/>
        </w:rPr>
      </w:pPr>
    </w:p>
    <w:p w14:paraId="25D8B2F5" w14:textId="75F16AC2" w:rsidR="00007632" w:rsidRPr="00A92778" w:rsidRDefault="00007632" w:rsidP="00007632">
      <w:pPr>
        <w:spacing w:before="100" w:beforeAutospacing="1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 xml:space="preserve">Bližší pohled na </w:t>
      </w:r>
      <w:proofErr w:type="spellStart"/>
      <w:r>
        <w:rPr>
          <w:rFonts w:ascii="Invesco Interstate Light" w:hAnsi="Invesco Interstate Light"/>
          <w:b/>
          <w:bCs/>
          <w:sz w:val="22"/>
          <w:szCs w:val="22"/>
        </w:rPr>
        <w:t>Jomkipurskou</w:t>
      </w:r>
      <w:proofErr w:type="spellEnd"/>
      <w:r>
        <w:rPr>
          <w:rFonts w:ascii="Invesco Interstate Light" w:hAnsi="Invesco Interstate Light"/>
          <w:b/>
          <w:bCs/>
          <w:sz w:val="22"/>
          <w:szCs w:val="22"/>
        </w:rPr>
        <w:t xml:space="preserve"> válku</w:t>
      </w:r>
    </w:p>
    <w:p w14:paraId="76498DB0" w14:textId="78207100" w:rsidR="00071945" w:rsidRDefault="00007632" w:rsidP="0007194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Největší odchylkou ve výše uvedeném grafu je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Jomkipurská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válka v roce 1973, po níž následovala silná recese a prudký pokles trhů. To může být pro investory znepokojující vzhledem k paralelám s dnešním konfliktem, ale jsou zde velmi významné rozdíly:</w:t>
      </w:r>
    </w:p>
    <w:p w14:paraId="5EB5F4B0" w14:textId="07E49B5B" w:rsidR="00007632" w:rsidRPr="00007632" w:rsidRDefault="00007632" w:rsidP="00007632">
      <w:pPr>
        <w:numPr>
          <w:ilvl w:val="0"/>
          <w:numId w:val="33"/>
        </w:numPr>
        <w:spacing w:before="100" w:before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>Recese v 70. letech byla podpořena arabským ropným embargem proti Spojeným státům. Dnes jsou však USA podstatně energeticky nezávislejší než tehdy.</w:t>
      </w:r>
    </w:p>
    <w:p w14:paraId="2D086A35" w14:textId="54AEB7B1" w:rsidR="00007632" w:rsidRDefault="00007632" w:rsidP="00071945">
      <w:pPr>
        <w:numPr>
          <w:ilvl w:val="0"/>
          <w:numId w:val="33"/>
        </w:numPr>
        <w:spacing w:before="100" w:before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V 70. letech 20. století začínala růst inflace. V současném případě však inflace dosáhla svého vrcholu před více než rokem </w:t>
      </w:r>
      <w:r w:rsidRPr="00007632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index spotřebitelských cen v USA </w:t>
      </w:r>
      <w:r w:rsidR="0043527C">
        <w:rPr>
          <w:rFonts w:ascii="Invesco Interstate Light" w:eastAsiaTheme="minorEastAsia" w:hAnsi="Invesco Interstate Light"/>
          <w:sz w:val="22"/>
          <w:szCs w:val="22"/>
        </w:rPr>
        <w:t>dosáhl v červnu 2022 hodnoty 9,1 % a v září 2023 klesl na 3,7 %.</w:t>
      </w:r>
    </w:p>
    <w:p w14:paraId="56446A97" w14:textId="5EBC22AE" w:rsidR="0043527C" w:rsidRDefault="0043527C" w:rsidP="00071945">
      <w:pPr>
        <w:numPr>
          <w:ilvl w:val="0"/>
          <w:numId w:val="33"/>
        </w:numPr>
        <w:spacing w:before="100" w:before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>Zdá se, že Federální rezervní systém netrpí horší důvěryhodností tak</w:t>
      </w:r>
      <w:r w:rsidR="00AF1608">
        <w:rPr>
          <w:rFonts w:ascii="Invesco Interstate Light" w:eastAsiaTheme="minorEastAsia" w:hAnsi="Invesco Interstate Light"/>
          <w:sz w:val="22"/>
          <w:szCs w:val="22"/>
        </w:rPr>
        <w:t>,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jak tomu bylo v 70. letech. Inflační očekávání jsou v USA velmi dobře ukotvena.</w:t>
      </w:r>
    </w:p>
    <w:p w14:paraId="46AED424" w14:textId="77777777" w:rsidR="00DE00F5" w:rsidRDefault="00DE00F5" w:rsidP="00DE00F5"/>
    <w:p w14:paraId="3C0D3EDF" w14:textId="77777777" w:rsidR="00243188" w:rsidRDefault="00243188" w:rsidP="0024318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331CA06" w14:textId="77777777" w:rsidR="00A624F1" w:rsidRPr="000061D4" w:rsidRDefault="00A624F1" w:rsidP="002D1D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820404B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584F373D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2070FA0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13EF5F9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133F8DA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1DEB5D6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7F2A922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34F67C0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84C07E5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7D7992E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51C745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3FA92140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66D6B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3EC93E2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4962BB6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BBD538F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93B84A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B5D675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953536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7CB41AA4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46EFF9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514F0610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5FA869FA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5AF697AD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4125AB5A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5D2B7DED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88ACBF4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2FBF4E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5927A5F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61179BDF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1C3A65B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2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ED8F" w14:textId="77777777" w:rsidR="00943204" w:rsidRDefault="00943204">
      <w:r>
        <w:separator/>
      </w:r>
    </w:p>
  </w:endnote>
  <w:endnote w:type="continuationSeparator" w:id="0">
    <w:p w14:paraId="3C6D81DD" w14:textId="77777777" w:rsidR="00943204" w:rsidRDefault="00943204">
      <w:r>
        <w:continuationSeparator/>
      </w:r>
    </w:p>
  </w:endnote>
  <w:endnote w:type="continuationNotice" w:id="1">
    <w:p w14:paraId="54311C4D" w14:textId="77777777" w:rsidR="00943204" w:rsidRDefault="009432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6AA4" w14:textId="77777777" w:rsidR="00943204" w:rsidRDefault="00943204">
      <w:r>
        <w:separator/>
      </w:r>
    </w:p>
  </w:footnote>
  <w:footnote w:type="continuationSeparator" w:id="0">
    <w:p w14:paraId="6D4911F4" w14:textId="77777777" w:rsidR="00943204" w:rsidRDefault="00943204">
      <w:r>
        <w:continuationSeparator/>
      </w:r>
    </w:p>
  </w:footnote>
  <w:footnote w:type="continuationNotice" w:id="1">
    <w:p w14:paraId="4568C56D" w14:textId="77777777" w:rsidR="00943204" w:rsidRDefault="009432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DBFA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14156BF2" wp14:editId="14DAEA53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55E3C7C2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1E733153" w14:textId="681BCE1F" w:rsidR="00702C33" w:rsidRPr="000730A6" w:rsidRDefault="00F51E20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</w:t>
    </w:r>
    <w:r w:rsidR="00187C9C">
      <w:rPr>
        <w:color w:val="000000"/>
        <w:sz w:val="28"/>
        <w:szCs w:val="28"/>
      </w:rPr>
      <w:t>5</w:t>
    </w:r>
    <w:r w:rsidR="00071945">
      <w:rPr>
        <w:color w:val="000000"/>
        <w:sz w:val="28"/>
        <w:szCs w:val="28"/>
      </w:rPr>
      <w:t>.10</w:t>
    </w:r>
    <w:r w:rsidR="0083625E">
      <w:rPr>
        <w:color w:val="000000"/>
        <w:sz w:val="28"/>
        <w:szCs w:val="28"/>
      </w:rPr>
      <w:t>.2023</w:t>
    </w:r>
  </w:p>
  <w:p w14:paraId="4437FA7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28FB138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D8E87F6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7002C14E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5BF5"/>
    <w:multiLevelType w:val="hybridMultilevel"/>
    <w:tmpl w:val="58FAF73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89C2F3A">
      <w:numFmt w:val="bullet"/>
      <w:lvlText w:val="-"/>
      <w:lvlJc w:val="left"/>
      <w:pPr>
        <w:ind w:left="1647" w:hanging="360"/>
      </w:pPr>
      <w:rPr>
        <w:rFonts w:ascii="Invesco Interstate Light" w:eastAsiaTheme="minorEastAsia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4E02"/>
    <w:multiLevelType w:val="multilevel"/>
    <w:tmpl w:val="B58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3A5A"/>
    <w:multiLevelType w:val="hybridMultilevel"/>
    <w:tmpl w:val="7DC68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E3E5723"/>
    <w:multiLevelType w:val="hybridMultilevel"/>
    <w:tmpl w:val="34EEE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F3A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A81"/>
    <w:multiLevelType w:val="hybridMultilevel"/>
    <w:tmpl w:val="DFCAE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30B23"/>
    <w:multiLevelType w:val="multilevel"/>
    <w:tmpl w:val="11820CCE"/>
    <w:numStyleLink w:val="FormatvorlageAufgezhlt"/>
  </w:abstractNum>
  <w:abstractNum w:abstractNumId="19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03C3"/>
    <w:multiLevelType w:val="multilevel"/>
    <w:tmpl w:val="11820CCE"/>
    <w:numStyleLink w:val="FormatvorlageAufgezhlt"/>
  </w:abstractNum>
  <w:abstractNum w:abstractNumId="26" w15:restartNumberingAfterBreak="0">
    <w:nsid w:val="6C6C4721"/>
    <w:multiLevelType w:val="multilevel"/>
    <w:tmpl w:val="11820CCE"/>
    <w:numStyleLink w:val="FormatvorlageAufgezhlt"/>
  </w:abstractNum>
  <w:abstractNum w:abstractNumId="27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2286C"/>
    <w:multiLevelType w:val="hybridMultilevel"/>
    <w:tmpl w:val="01C0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5380B"/>
    <w:multiLevelType w:val="multilevel"/>
    <w:tmpl w:val="11820CCE"/>
    <w:numStyleLink w:val="FormatvorlageAufgezhlt"/>
  </w:abstractNum>
  <w:abstractNum w:abstractNumId="30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6523">
    <w:abstractNumId w:val="0"/>
  </w:num>
  <w:num w:numId="2" w16cid:durableId="1547791082">
    <w:abstractNumId w:val="15"/>
  </w:num>
  <w:num w:numId="3" w16cid:durableId="1755471719">
    <w:abstractNumId w:val="23"/>
  </w:num>
  <w:num w:numId="4" w16cid:durableId="758217674">
    <w:abstractNumId w:val="16"/>
  </w:num>
  <w:num w:numId="5" w16cid:durableId="2076974718">
    <w:abstractNumId w:val="18"/>
  </w:num>
  <w:num w:numId="6" w16cid:durableId="510730063">
    <w:abstractNumId w:val="25"/>
  </w:num>
  <w:num w:numId="7" w16cid:durableId="1033918760">
    <w:abstractNumId w:val="26"/>
  </w:num>
  <w:num w:numId="8" w16cid:durableId="1158576048">
    <w:abstractNumId w:val="1"/>
  </w:num>
  <w:num w:numId="9" w16cid:durableId="62485740">
    <w:abstractNumId w:val="29"/>
  </w:num>
  <w:num w:numId="10" w16cid:durableId="488253827">
    <w:abstractNumId w:val="14"/>
  </w:num>
  <w:num w:numId="11" w16cid:durableId="1442604358">
    <w:abstractNumId w:val="6"/>
  </w:num>
  <w:num w:numId="12" w16cid:durableId="889847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3969842">
    <w:abstractNumId w:val="34"/>
  </w:num>
  <w:num w:numId="14" w16cid:durableId="637807393">
    <w:abstractNumId w:val="35"/>
  </w:num>
  <w:num w:numId="15" w16cid:durableId="1476875090">
    <w:abstractNumId w:val="22"/>
  </w:num>
  <w:num w:numId="16" w16cid:durableId="1972324655">
    <w:abstractNumId w:val="9"/>
  </w:num>
  <w:num w:numId="17" w16cid:durableId="1831630877">
    <w:abstractNumId w:val="2"/>
  </w:num>
  <w:num w:numId="18" w16cid:durableId="103966825">
    <w:abstractNumId w:val="24"/>
  </w:num>
  <w:num w:numId="19" w16cid:durableId="919558749">
    <w:abstractNumId w:val="27"/>
  </w:num>
  <w:num w:numId="20" w16cid:durableId="1537234565">
    <w:abstractNumId w:val="32"/>
  </w:num>
  <w:num w:numId="21" w16cid:durableId="1354376130">
    <w:abstractNumId w:val="31"/>
  </w:num>
  <w:num w:numId="22" w16cid:durableId="717819076">
    <w:abstractNumId w:val="13"/>
  </w:num>
  <w:num w:numId="23" w16cid:durableId="2104717872">
    <w:abstractNumId w:val="21"/>
  </w:num>
  <w:num w:numId="24" w16cid:durableId="1257788521">
    <w:abstractNumId w:val="17"/>
  </w:num>
  <w:num w:numId="25" w16cid:durableId="1125276436">
    <w:abstractNumId w:val="33"/>
  </w:num>
  <w:num w:numId="26" w16cid:durableId="1000086138">
    <w:abstractNumId w:val="20"/>
  </w:num>
  <w:num w:numId="27" w16cid:durableId="746922414">
    <w:abstractNumId w:val="4"/>
  </w:num>
  <w:num w:numId="28" w16cid:durableId="550306345">
    <w:abstractNumId w:val="7"/>
  </w:num>
  <w:num w:numId="29" w16cid:durableId="406150249">
    <w:abstractNumId w:val="30"/>
  </w:num>
  <w:num w:numId="30" w16cid:durableId="8600859">
    <w:abstractNumId w:val="19"/>
  </w:num>
  <w:num w:numId="31" w16cid:durableId="744958508">
    <w:abstractNumId w:val="8"/>
  </w:num>
  <w:num w:numId="32" w16cid:durableId="2168749">
    <w:abstractNumId w:val="3"/>
  </w:num>
  <w:num w:numId="33" w16cid:durableId="510753490">
    <w:abstractNumId w:val="5"/>
  </w:num>
  <w:num w:numId="34" w16cid:durableId="1527526861">
    <w:abstractNumId w:val="10"/>
  </w:num>
  <w:num w:numId="35" w16cid:durableId="310795662">
    <w:abstractNumId w:val="12"/>
  </w:num>
  <w:num w:numId="36" w16cid:durableId="1187134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632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945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488B"/>
    <w:rsid w:val="00174E66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87C9C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27C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2DB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4991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42D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3C6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4DC1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0B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204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70C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608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57C2A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77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3E65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1E20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5D3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4BC4E"/>
  <w15:docId w15:val="{7671B212-F2FF-4E60-9912-0F26319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79278-2CAE-46FD-B48E-7883658EC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2023-10-25T07:26:00Z</dcterms:created>
  <dcterms:modified xsi:type="dcterms:W3CDTF">2023-10-25T07:26:00Z</dcterms:modified>
</cp:coreProperties>
</file>