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446D"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5836E9E1" w14:textId="53605A87" w:rsidR="00531DF7"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D16F3D">
        <w:rPr>
          <w:rFonts w:ascii="Invesco Interstate Bold" w:hAnsi="Invesco Interstate Bold"/>
          <w:b/>
          <w:bCs/>
          <w:sz w:val="28"/>
          <w:szCs w:val="28"/>
        </w:rPr>
        <w:t>Měsíční zpráva o zlatě</w:t>
      </w:r>
    </w:p>
    <w:p w14:paraId="4DB7463D" w14:textId="571E360B" w:rsidR="00B74187" w:rsidRPr="00531DF7" w:rsidRDefault="00D16F3D" w:rsidP="00B65FF5">
      <w:pPr>
        <w:spacing w:line="276" w:lineRule="auto"/>
        <w:jc w:val="both"/>
        <w:rPr>
          <w:rFonts w:ascii="Invesco Interstate Bold" w:hAnsi="Invesco Interstate Bold"/>
          <w:b/>
          <w:bCs/>
          <w:sz w:val="24"/>
          <w:szCs w:val="24"/>
        </w:rPr>
      </w:pPr>
      <w:r>
        <w:rPr>
          <w:rFonts w:ascii="Invesco Interstate Bold" w:hAnsi="Invesco Interstate Bold"/>
          <w:b/>
          <w:bCs/>
          <w:sz w:val="24"/>
          <w:szCs w:val="24"/>
        </w:rPr>
        <w:t>Cena zlata si v říjnu přidala 7,3 %. Výkonnost zlata byla o to působivější, že výnos amerického desetiletého dluhopisu v průběhu měsíce překročil 5 % a dolar se obchodoval na vyšší úrovni.</w:t>
      </w:r>
    </w:p>
    <w:p w14:paraId="0B0E6269" w14:textId="77777777" w:rsidR="00B65FF5" w:rsidRDefault="00B65FF5" w:rsidP="00B65FF5">
      <w:pPr>
        <w:spacing w:line="276" w:lineRule="auto"/>
        <w:jc w:val="both"/>
        <w:rPr>
          <w:rFonts w:ascii="Invesco Interstate Light" w:eastAsiaTheme="minorEastAsia" w:hAnsi="Invesco Interstate Light"/>
          <w:sz w:val="22"/>
          <w:szCs w:val="22"/>
        </w:rPr>
      </w:pPr>
    </w:p>
    <w:p w14:paraId="41E21E3A" w14:textId="546309E7" w:rsidR="00B65FF5" w:rsidRDefault="00D16F3D" w:rsidP="00531DF7">
      <w:pPr>
        <w:rPr>
          <w:rFonts w:ascii="Invesco Interstate Light" w:hAnsi="Invesco Interstate Light"/>
          <w:b/>
          <w:bCs/>
          <w:sz w:val="22"/>
          <w:szCs w:val="22"/>
        </w:rPr>
      </w:pPr>
      <w:r>
        <w:rPr>
          <w:rFonts w:ascii="Invesco Interstate Light" w:hAnsi="Invesco Interstate Light"/>
          <w:b/>
          <w:bCs/>
          <w:sz w:val="22"/>
          <w:szCs w:val="22"/>
        </w:rPr>
        <w:t>Cena zlata v průběhu měsíce</w:t>
      </w:r>
    </w:p>
    <w:p w14:paraId="1AAE66DF" w14:textId="77777777" w:rsidR="00175CC2" w:rsidRPr="00B74187" w:rsidRDefault="00175CC2" w:rsidP="00B74187">
      <w:pPr>
        <w:spacing w:line="276" w:lineRule="auto"/>
      </w:pPr>
    </w:p>
    <w:p w14:paraId="2FAD3DA6" w14:textId="2DA7CDFA" w:rsidR="00B65FF5" w:rsidRDefault="00181700" w:rsidP="00B65FF5">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noProof/>
          <w:sz w:val="22"/>
          <w:szCs w:val="22"/>
        </w:rPr>
        <w:drawing>
          <wp:inline distT="0" distB="0" distL="0" distR="0" wp14:anchorId="1995CC36" wp14:editId="0ABD8B38">
            <wp:extent cx="6108065" cy="3053715"/>
            <wp:effectExtent l="0" t="0" r="6985" b="0"/>
            <wp:docPr id="10697796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779619" name="Obrázek 1069779619"/>
                    <pic:cNvPicPr/>
                  </pic:nvPicPr>
                  <pic:blipFill>
                    <a:blip r:embed="rId11">
                      <a:extLst>
                        <a:ext uri="{28A0092B-C50C-407E-A947-70E740481C1C}">
                          <a14:useLocalDpi xmlns:a14="http://schemas.microsoft.com/office/drawing/2010/main" val="0"/>
                        </a:ext>
                      </a:extLst>
                    </a:blip>
                    <a:stretch>
                      <a:fillRect/>
                    </a:stretch>
                  </pic:blipFill>
                  <pic:spPr>
                    <a:xfrm>
                      <a:off x="0" y="0"/>
                      <a:ext cx="6108065" cy="3053715"/>
                    </a:xfrm>
                    <a:prstGeom prst="rect">
                      <a:avLst/>
                    </a:prstGeom>
                  </pic:spPr>
                </pic:pic>
              </a:graphicData>
            </a:graphic>
          </wp:inline>
        </w:drawing>
      </w:r>
      <w:r w:rsidR="00531DF7" w:rsidRPr="00531DF7">
        <w:rPr>
          <w:rFonts w:ascii="Invesco Interstate Light" w:eastAsiaTheme="minorEastAsia" w:hAnsi="Invesco Interstate Light"/>
          <w:i/>
          <w:iCs/>
          <w:sz w:val="22"/>
          <w:szCs w:val="22"/>
        </w:rPr>
        <w:t xml:space="preserve"> </w:t>
      </w:r>
    </w:p>
    <w:p w14:paraId="2422CB78" w14:textId="57F1163D" w:rsidR="00531DF7" w:rsidRDefault="002C1C66" w:rsidP="00B65FF5">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 xml:space="preserve">Zdroj: </w:t>
      </w:r>
      <w:proofErr w:type="spellStart"/>
      <w:r w:rsidR="00181700">
        <w:rPr>
          <w:rFonts w:ascii="Invesco Interstate Light" w:eastAsiaTheme="minorEastAsia" w:hAnsi="Invesco Interstate Light"/>
          <w:i/>
          <w:iCs/>
          <w:sz w:val="22"/>
          <w:szCs w:val="22"/>
        </w:rPr>
        <w:t>Bloomberg</w:t>
      </w:r>
      <w:proofErr w:type="spellEnd"/>
      <w:r w:rsidR="00181700">
        <w:rPr>
          <w:rFonts w:ascii="Invesco Interstate Light" w:eastAsiaTheme="minorEastAsia" w:hAnsi="Invesco Interstate Light"/>
          <w:i/>
          <w:iCs/>
          <w:sz w:val="22"/>
          <w:szCs w:val="22"/>
        </w:rPr>
        <w:t>, 31.října 2023. Minulá výkonnost nepředvídá budoucí výnosy.</w:t>
      </w:r>
    </w:p>
    <w:p w14:paraId="099B807B" w14:textId="77777777" w:rsidR="00531DF7" w:rsidRDefault="00531DF7" w:rsidP="00531DF7">
      <w:pPr>
        <w:spacing w:line="240" w:lineRule="auto"/>
        <w:rPr>
          <w:rFonts w:ascii="Invesco Interstate Light" w:hAnsi="Invesco Interstate Light"/>
          <w:b/>
          <w:bCs/>
          <w:sz w:val="22"/>
          <w:szCs w:val="22"/>
        </w:rPr>
      </w:pPr>
    </w:p>
    <w:p w14:paraId="2D9C9340" w14:textId="56390467" w:rsidR="00531DF7" w:rsidRPr="00531DF7" w:rsidRDefault="00D16F3D" w:rsidP="00531DF7">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Cena zlata v říjnu skončila na 1 984 dolarech, což je nejvyšší měsíční hodnota od dubna letošního roku. Zlato se během měsíce poprvé od května obchodovalo i nad 2 000 dolarů. Jednalo se o výrazný obrat oproti náladě z konce září, kdy byl v důsledku prudkého výprodeje zlata spuštěn signál </w:t>
      </w:r>
      <w:proofErr w:type="spellStart"/>
      <w:r>
        <w:rPr>
          <w:rFonts w:ascii="Invesco Interstate Light" w:eastAsiaTheme="minorEastAsia" w:hAnsi="Invesco Interstate Light"/>
          <w:sz w:val="22"/>
          <w:szCs w:val="22"/>
        </w:rPr>
        <w:t>přeprodanosti</w:t>
      </w:r>
      <w:proofErr w:type="spellEnd"/>
      <w:r>
        <w:rPr>
          <w:rFonts w:ascii="Invesco Interstate Light" w:eastAsiaTheme="minorEastAsia" w:hAnsi="Invesco Interstate Light"/>
          <w:sz w:val="22"/>
          <w:szCs w:val="22"/>
        </w:rPr>
        <w:t>.</w:t>
      </w:r>
    </w:p>
    <w:p w14:paraId="6AC9CA4D" w14:textId="77777777" w:rsidR="00531DF7" w:rsidRPr="00B65FF5" w:rsidRDefault="00531DF7" w:rsidP="00B65FF5">
      <w:pPr>
        <w:spacing w:line="276" w:lineRule="auto"/>
        <w:jc w:val="both"/>
        <w:rPr>
          <w:rFonts w:ascii="Invesco Interstate Light" w:eastAsiaTheme="minorEastAsia" w:hAnsi="Invesco Interstate Light"/>
          <w:sz w:val="22"/>
          <w:szCs w:val="22"/>
        </w:rPr>
      </w:pPr>
    </w:p>
    <w:p w14:paraId="1C651634" w14:textId="279158D2" w:rsidR="00531DF7" w:rsidRPr="00531DF7" w:rsidRDefault="00D16F3D" w:rsidP="00531DF7">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Zpočátku způsobil růst ceny zlata útok </w:t>
      </w:r>
      <w:proofErr w:type="spellStart"/>
      <w:r>
        <w:rPr>
          <w:rFonts w:ascii="Invesco Interstate Light" w:hAnsi="Invesco Interstate Light"/>
          <w:sz w:val="22"/>
          <w:szCs w:val="22"/>
        </w:rPr>
        <w:t>Hamásu</w:t>
      </w:r>
      <w:proofErr w:type="spellEnd"/>
      <w:r>
        <w:rPr>
          <w:rFonts w:ascii="Invesco Interstate Light" w:hAnsi="Invesco Interstate Light"/>
          <w:sz w:val="22"/>
          <w:szCs w:val="22"/>
        </w:rPr>
        <w:t xml:space="preserve"> na Izrael. </w:t>
      </w:r>
      <w:r w:rsidR="002C4647">
        <w:rPr>
          <w:rFonts w:ascii="Invesco Interstate Light" w:hAnsi="Invesco Interstate Light"/>
          <w:sz w:val="22"/>
          <w:szCs w:val="22"/>
        </w:rPr>
        <w:t xml:space="preserve">Panovaly totiž obavy z vyšších cen ropy, které by mohly vyvolat tlak na pokles reálných výnosů. Došlo tak k prodejům „zlatých“ ETF a také k nárůstu krátkých kontraktů, které se brzy dostaly pod tlak, protože geopolitické napětí se stalo hlavní hnací silou při umisťování zlata. Zlato si přitom v září upevnilo pozici </w:t>
      </w:r>
      <w:proofErr w:type="spellStart"/>
      <w:r w:rsidR="002C4647">
        <w:rPr>
          <w:rFonts w:ascii="Invesco Interstate Light" w:hAnsi="Invesco Interstate Light"/>
          <w:sz w:val="22"/>
          <w:szCs w:val="22"/>
        </w:rPr>
        <w:t>nejaktraktivnějšího</w:t>
      </w:r>
      <w:proofErr w:type="spellEnd"/>
      <w:r w:rsidR="002C4647">
        <w:rPr>
          <w:rFonts w:ascii="Invesco Interstate Light" w:hAnsi="Invesco Interstate Light"/>
          <w:sz w:val="22"/>
          <w:szCs w:val="22"/>
        </w:rPr>
        <w:t xml:space="preserve"> „bezpečného aktiva“ a přitom dosáhlo nových krátkodobých maxim v případě švýcarského franku. Inflace v USA byla vyšší, než se očekávalo. Nákupy centrálních bank se ve 3. čtvrtletí opět zvýšily a Polsko oznámilo svůj záměr v nadcházejících měsících opět navýšit své zlaté rezervy. Zlato podporují také listopadové indické oslavy </w:t>
      </w:r>
      <w:proofErr w:type="spellStart"/>
      <w:r w:rsidR="002C4647">
        <w:rPr>
          <w:rFonts w:ascii="Invesco Interstate Light" w:hAnsi="Invesco Interstate Light"/>
          <w:sz w:val="22"/>
          <w:szCs w:val="22"/>
        </w:rPr>
        <w:t>Diwali</w:t>
      </w:r>
      <w:proofErr w:type="spellEnd"/>
      <w:r w:rsidR="002C4647">
        <w:rPr>
          <w:rFonts w:ascii="Invesco Interstate Light" w:hAnsi="Invesco Interstate Light"/>
          <w:sz w:val="22"/>
          <w:szCs w:val="22"/>
        </w:rPr>
        <w:t xml:space="preserve">. </w:t>
      </w:r>
    </w:p>
    <w:p w14:paraId="6D11867B" w14:textId="77777777" w:rsidR="000A13F4" w:rsidRDefault="000A13F4" w:rsidP="00531DF7">
      <w:pPr>
        <w:spacing w:line="276" w:lineRule="auto"/>
        <w:jc w:val="both"/>
        <w:rPr>
          <w:rFonts w:ascii="Invesco Interstate Light" w:hAnsi="Invesco Interstate Light"/>
          <w:b/>
          <w:bCs/>
          <w:sz w:val="22"/>
          <w:szCs w:val="22"/>
        </w:rPr>
      </w:pPr>
    </w:p>
    <w:p w14:paraId="5461025C" w14:textId="690BAE7E" w:rsidR="00531DF7" w:rsidRDefault="002C4647" w:rsidP="00531DF7">
      <w:pPr>
        <w:rPr>
          <w:rFonts w:ascii="Invesco Interstate Light" w:hAnsi="Invesco Interstate Light"/>
          <w:sz w:val="22"/>
          <w:szCs w:val="22"/>
        </w:rPr>
      </w:pPr>
      <w:r w:rsidRPr="00181700">
        <w:rPr>
          <w:rFonts w:ascii="Invesco Interstate Light" w:hAnsi="Invesco Interstate Light"/>
          <w:sz w:val="22"/>
          <w:szCs w:val="22"/>
        </w:rPr>
        <w:t>Od počátku roku je zlato v plusu 8,8 %</w:t>
      </w:r>
      <w:r w:rsidR="00181700">
        <w:rPr>
          <w:rFonts w:ascii="Invesco Interstate Light" w:hAnsi="Invesco Interstate Light"/>
          <w:sz w:val="22"/>
          <w:szCs w:val="22"/>
        </w:rPr>
        <w:t>.</w:t>
      </w:r>
      <w:r w:rsidRPr="00181700">
        <w:rPr>
          <w:rFonts w:ascii="Invesco Interstate Light" w:hAnsi="Invesco Interstate Light"/>
          <w:sz w:val="22"/>
          <w:szCs w:val="22"/>
        </w:rPr>
        <w:t xml:space="preserve"> </w:t>
      </w:r>
    </w:p>
    <w:p w14:paraId="25E3AE38" w14:textId="7CDFAD86" w:rsidR="00D143CB" w:rsidRPr="00181700" w:rsidRDefault="00D143CB" w:rsidP="00531DF7">
      <w:pPr>
        <w:rPr>
          <w:rFonts w:ascii="Invesco Interstate Light" w:hAnsi="Invesco Interstate Light"/>
          <w:sz w:val="22"/>
          <w:szCs w:val="22"/>
        </w:rPr>
      </w:pPr>
    </w:p>
    <w:p w14:paraId="28A46FFF" w14:textId="77777777" w:rsidR="00531DF7" w:rsidRDefault="00531DF7" w:rsidP="00531DF7">
      <w:pPr>
        <w:spacing w:line="276" w:lineRule="auto"/>
        <w:jc w:val="both"/>
        <w:rPr>
          <w:rFonts w:ascii="Invesco Interstate Light" w:hAnsi="Invesco Interstate Light"/>
          <w:b/>
          <w:bCs/>
          <w:sz w:val="22"/>
          <w:szCs w:val="22"/>
        </w:rPr>
      </w:pPr>
    </w:p>
    <w:p w14:paraId="1182BF6A" w14:textId="77777777" w:rsidR="002C4647" w:rsidRDefault="002C4647" w:rsidP="002C4647">
      <w:pPr>
        <w:rPr>
          <w:rFonts w:ascii="Invesco Interstate Light" w:hAnsi="Invesco Interstate Light"/>
          <w:b/>
          <w:bCs/>
          <w:sz w:val="22"/>
          <w:szCs w:val="22"/>
        </w:rPr>
      </w:pPr>
      <w:r>
        <w:rPr>
          <w:rFonts w:ascii="Invesco Interstate Light" w:hAnsi="Invesco Interstate Light"/>
          <w:b/>
          <w:bCs/>
          <w:sz w:val="22"/>
          <w:szCs w:val="22"/>
        </w:rPr>
        <w:lastRenderedPageBreak/>
        <w:t>Cena zlata a reálné výnosy dluhopisů</w:t>
      </w:r>
    </w:p>
    <w:p w14:paraId="25D915C1" w14:textId="34508ECB" w:rsidR="002C4647" w:rsidRDefault="002C4647" w:rsidP="002C4647">
      <w:r>
        <w:rPr>
          <w:rFonts w:ascii="Invesco Interstate Light" w:hAnsi="Invesco Interstate Light"/>
          <w:b/>
          <w:bCs/>
          <w:sz w:val="22"/>
          <w:szCs w:val="22"/>
        </w:rPr>
        <w:t xml:space="preserve"> </w:t>
      </w:r>
    </w:p>
    <w:p w14:paraId="055B563C" w14:textId="7770423A" w:rsidR="00BD714B" w:rsidRDefault="00BD714B" w:rsidP="00A357C8">
      <w:pPr>
        <w:spacing w:line="276" w:lineRule="auto"/>
        <w:jc w:val="both"/>
        <w:rPr>
          <w:rFonts w:ascii="Invesco Interstate Light" w:hAnsi="Invesco Interstate Light"/>
          <w:sz w:val="22"/>
          <w:szCs w:val="22"/>
        </w:rPr>
      </w:pPr>
      <w:r>
        <w:rPr>
          <w:rFonts w:ascii="Invesco Interstate Light" w:hAnsi="Invesco Interstate Light"/>
          <w:noProof/>
          <w:sz w:val="22"/>
          <w:szCs w:val="22"/>
        </w:rPr>
        <w:drawing>
          <wp:inline distT="0" distB="0" distL="0" distR="0" wp14:anchorId="28A9AEF2" wp14:editId="774B85ED">
            <wp:extent cx="6108065" cy="3053715"/>
            <wp:effectExtent l="0" t="0" r="6985" b="0"/>
            <wp:docPr id="30802271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22718" name="Obrázek 308022718"/>
                    <pic:cNvPicPr/>
                  </pic:nvPicPr>
                  <pic:blipFill>
                    <a:blip r:embed="rId12">
                      <a:extLst>
                        <a:ext uri="{28A0092B-C50C-407E-A947-70E740481C1C}">
                          <a14:useLocalDpi xmlns:a14="http://schemas.microsoft.com/office/drawing/2010/main" val="0"/>
                        </a:ext>
                      </a:extLst>
                    </a:blip>
                    <a:stretch>
                      <a:fillRect/>
                    </a:stretch>
                  </pic:blipFill>
                  <pic:spPr>
                    <a:xfrm>
                      <a:off x="0" y="0"/>
                      <a:ext cx="6108065" cy="3053715"/>
                    </a:xfrm>
                    <a:prstGeom prst="rect">
                      <a:avLst/>
                    </a:prstGeom>
                  </pic:spPr>
                </pic:pic>
              </a:graphicData>
            </a:graphic>
          </wp:inline>
        </w:drawing>
      </w:r>
    </w:p>
    <w:p w14:paraId="51E469B9" w14:textId="77777777" w:rsidR="00BD714B" w:rsidRDefault="00BD714B" w:rsidP="00A357C8">
      <w:pPr>
        <w:spacing w:line="276" w:lineRule="auto"/>
        <w:jc w:val="both"/>
        <w:rPr>
          <w:rFonts w:ascii="Invesco Interstate Light" w:hAnsi="Invesco Interstate Light"/>
          <w:sz w:val="22"/>
          <w:szCs w:val="22"/>
        </w:rPr>
      </w:pPr>
    </w:p>
    <w:p w14:paraId="46A6F16F" w14:textId="77777777" w:rsidR="00BD714B" w:rsidRDefault="00BD714B" w:rsidP="00BD714B">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 xml:space="preserve">Zdroj: </w:t>
      </w:r>
      <w:proofErr w:type="spellStart"/>
      <w:r>
        <w:rPr>
          <w:rFonts w:ascii="Invesco Interstate Light" w:eastAsiaTheme="minorEastAsia" w:hAnsi="Invesco Interstate Light"/>
          <w:i/>
          <w:iCs/>
          <w:sz w:val="22"/>
          <w:szCs w:val="22"/>
        </w:rPr>
        <w:t>Bloomberg</w:t>
      </w:r>
      <w:proofErr w:type="spellEnd"/>
      <w:r>
        <w:rPr>
          <w:rFonts w:ascii="Invesco Interstate Light" w:eastAsiaTheme="minorEastAsia" w:hAnsi="Invesco Interstate Light"/>
          <w:i/>
          <w:iCs/>
          <w:sz w:val="22"/>
          <w:szCs w:val="22"/>
        </w:rPr>
        <w:t>, 31.října 2023. Minulá výkonnost nepředvídá budoucí výnosy.</w:t>
      </w:r>
    </w:p>
    <w:p w14:paraId="5AD2DD37" w14:textId="77777777" w:rsidR="00BD714B" w:rsidRDefault="00BD714B" w:rsidP="00A357C8">
      <w:pPr>
        <w:spacing w:line="276" w:lineRule="auto"/>
        <w:jc w:val="both"/>
        <w:rPr>
          <w:rFonts w:ascii="Invesco Interstate Light" w:hAnsi="Invesco Interstate Light"/>
          <w:sz w:val="22"/>
          <w:szCs w:val="22"/>
        </w:rPr>
      </w:pPr>
    </w:p>
    <w:p w14:paraId="31C75549" w14:textId="0D88F95B" w:rsidR="00314B14" w:rsidRDefault="002C4647" w:rsidP="00A357C8">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Politická situace způsobila, že navzdory růstu reálných výnosů (na konci měsíce na 2,5 %) se zlato odpoutalo od svého tradičního vztahu k reálným výnosům a také se posunulo výše. Naposledy se zlato za tyto ceny obchodovalo ve druhém čtvrtletí, kdy těžilo z rostoucích spekulací, že americká ekonomika ochladne. V té době se reálné sazby blížily 1,4 %. Celkově jsou americká ekonomická data mnohem silnější, než se očekávalo, což udržuje reálné výnosy relativně vysoko. Napětí na Blízkém východě je provázeno očekáváním vyšších cen ropy, které se promítají do inflačních očekávání, což tlačí i na růst nominálních výnosů a dále tak krystalizuje pozice zlata jako lepšího „bezpečného aktiva“. </w:t>
      </w:r>
    </w:p>
    <w:p w14:paraId="4389796A" w14:textId="77777777" w:rsidR="003C53BD" w:rsidRDefault="003C53BD" w:rsidP="00A357C8">
      <w:pPr>
        <w:spacing w:line="276" w:lineRule="auto"/>
        <w:jc w:val="both"/>
        <w:rPr>
          <w:rFonts w:ascii="Invesco Interstate Light" w:hAnsi="Invesco Interstate Light"/>
          <w:sz w:val="22"/>
          <w:szCs w:val="22"/>
        </w:rPr>
      </w:pPr>
    </w:p>
    <w:p w14:paraId="7AFCB9A5" w14:textId="630DBF73" w:rsidR="00531DF7" w:rsidRDefault="003D6BAF" w:rsidP="00A357C8">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Vývoj sazeb fondů </w:t>
      </w:r>
      <w:proofErr w:type="spellStart"/>
      <w:r>
        <w:rPr>
          <w:rFonts w:ascii="Invesco Interstate Light" w:hAnsi="Invesco Interstate Light"/>
          <w:sz w:val="22"/>
          <w:szCs w:val="22"/>
        </w:rPr>
        <w:t>Fedu</w:t>
      </w:r>
      <w:proofErr w:type="spellEnd"/>
      <w:r>
        <w:rPr>
          <w:rFonts w:ascii="Invesco Interstate Light" w:hAnsi="Invesco Interstate Light"/>
          <w:sz w:val="22"/>
          <w:szCs w:val="22"/>
        </w:rPr>
        <w:t>, jak je oceňují trhy, se meziročně příliš nezměnil. Kromě toho, že zveřejněná inflace v USA mírně překonala prognózy (3,7 % oproti 3,6 % meziročně), došlo také k obrovskému překvapení v oblasti mezd v USA (336 tis. oproti 180 tis.).</w:t>
      </w:r>
    </w:p>
    <w:p w14:paraId="6821BDE0" w14:textId="77777777" w:rsidR="003D6BAF" w:rsidRDefault="003D6BAF" w:rsidP="00A357C8">
      <w:pPr>
        <w:spacing w:line="276" w:lineRule="auto"/>
        <w:jc w:val="both"/>
        <w:rPr>
          <w:rFonts w:ascii="Invesco Interstate Light" w:hAnsi="Invesco Interstate Light"/>
          <w:sz w:val="22"/>
          <w:szCs w:val="22"/>
        </w:rPr>
      </w:pPr>
    </w:p>
    <w:p w14:paraId="03932D22" w14:textId="77777777" w:rsidR="00BD714B" w:rsidRDefault="00BD714B" w:rsidP="003D6BAF">
      <w:pPr>
        <w:rPr>
          <w:rFonts w:ascii="Invesco Interstate Light" w:hAnsi="Invesco Interstate Light"/>
          <w:b/>
          <w:bCs/>
          <w:sz w:val="22"/>
          <w:szCs w:val="22"/>
        </w:rPr>
      </w:pPr>
    </w:p>
    <w:p w14:paraId="1E5EACC2" w14:textId="77777777" w:rsidR="00BD714B" w:rsidRDefault="00BD714B" w:rsidP="003D6BAF">
      <w:pPr>
        <w:rPr>
          <w:rFonts w:ascii="Invesco Interstate Light" w:hAnsi="Invesco Interstate Light"/>
          <w:b/>
          <w:bCs/>
          <w:sz w:val="22"/>
          <w:szCs w:val="22"/>
        </w:rPr>
      </w:pPr>
    </w:p>
    <w:p w14:paraId="41FD907F" w14:textId="77777777" w:rsidR="00BD714B" w:rsidRDefault="00BD714B" w:rsidP="003D6BAF">
      <w:pPr>
        <w:rPr>
          <w:rFonts w:ascii="Invesco Interstate Light" w:hAnsi="Invesco Interstate Light"/>
          <w:b/>
          <w:bCs/>
          <w:sz w:val="22"/>
          <w:szCs w:val="22"/>
        </w:rPr>
      </w:pPr>
    </w:p>
    <w:p w14:paraId="25288EC5" w14:textId="77777777" w:rsidR="00BD714B" w:rsidRDefault="00BD714B" w:rsidP="003D6BAF">
      <w:pPr>
        <w:rPr>
          <w:rFonts w:ascii="Invesco Interstate Light" w:hAnsi="Invesco Interstate Light"/>
          <w:b/>
          <w:bCs/>
          <w:sz w:val="22"/>
          <w:szCs w:val="22"/>
        </w:rPr>
      </w:pPr>
    </w:p>
    <w:p w14:paraId="4FD8D007" w14:textId="77777777" w:rsidR="00BD714B" w:rsidRDefault="00BD714B" w:rsidP="003D6BAF">
      <w:pPr>
        <w:rPr>
          <w:rFonts w:ascii="Invesco Interstate Light" w:hAnsi="Invesco Interstate Light"/>
          <w:b/>
          <w:bCs/>
          <w:sz w:val="22"/>
          <w:szCs w:val="22"/>
        </w:rPr>
      </w:pPr>
    </w:p>
    <w:p w14:paraId="71486895" w14:textId="77777777" w:rsidR="00BD714B" w:rsidRDefault="00BD714B" w:rsidP="003D6BAF">
      <w:pPr>
        <w:rPr>
          <w:rFonts w:ascii="Invesco Interstate Light" w:hAnsi="Invesco Interstate Light"/>
          <w:b/>
          <w:bCs/>
          <w:sz w:val="22"/>
          <w:szCs w:val="22"/>
        </w:rPr>
      </w:pPr>
    </w:p>
    <w:p w14:paraId="32708CFE" w14:textId="77777777" w:rsidR="00BD714B" w:rsidRDefault="00BD714B" w:rsidP="003D6BAF">
      <w:pPr>
        <w:rPr>
          <w:rFonts w:ascii="Invesco Interstate Light" w:hAnsi="Invesco Interstate Light"/>
          <w:b/>
          <w:bCs/>
          <w:sz w:val="22"/>
          <w:szCs w:val="22"/>
        </w:rPr>
      </w:pPr>
    </w:p>
    <w:p w14:paraId="2DB6355D" w14:textId="77777777" w:rsidR="00BD714B" w:rsidRDefault="00BD714B" w:rsidP="003D6BAF">
      <w:pPr>
        <w:rPr>
          <w:rFonts w:ascii="Invesco Interstate Light" w:hAnsi="Invesco Interstate Light"/>
          <w:b/>
          <w:bCs/>
          <w:sz w:val="22"/>
          <w:szCs w:val="22"/>
        </w:rPr>
      </w:pPr>
    </w:p>
    <w:p w14:paraId="5EB052C8" w14:textId="77777777" w:rsidR="00BD714B" w:rsidRDefault="00BD714B" w:rsidP="003D6BAF">
      <w:pPr>
        <w:rPr>
          <w:rFonts w:ascii="Invesco Interstate Light" w:hAnsi="Invesco Interstate Light"/>
          <w:b/>
          <w:bCs/>
          <w:sz w:val="22"/>
          <w:szCs w:val="22"/>
        </w:rPr>
      </w:pPr>
    </w:p>
    <w:p w14:paraId="0BEAD6BD" w14:textId="77777777" w:rsidR="00BD714B" w:rsidRDefault="00BD714B" w:rsidP="003D6BAF">
      <w:pPr>
        <w:rPr>
          <w:rFonts w:ascii="Invesco Interstate Light" w:hAnsi="Invesco Interstate Light"/>
          <w:b/>
          <w:bCs/>
          <w:sz w:val="22"/>
          <w:szCs w:val="22"/>
        </w:rPr>
      </w:pPr>
    </w:p>
    <w:p w14:paraId="74968BE2" w14:textId="77777777" w:rsidR="00BD714B" w:rsidRDefault="00BD714B" w:rsidP="003D6BAF">
      <w:pPr>
        <w:rPr>
          <w:rFonts w:ascii="Invesco Interstate Light" w:hAnsi="Invesco Interstate Light"/>
          <w:b/>
          <w:bCs/>
          <w:sz w:val="22"/>
          <w:szCs w:val="22"/>
        </w:rPr>
      </w:pPr>
    </w:p>
    <w:p w14:paraId="55273C99" w14:textId="77777777" w:rsidR="00BD714B" w:rsidRDefault="00BD714B" w:rsidP="003D6BAF">
      <w:pPr>
        <w:rPr>
          <w:rFonts w:ascii="Invesco Interstate Light" w:hAnsi="Invesco Interstate Light"/>
          <w:b/>
          <w:bCs/>
          <w:sz w:val="22"/>
          <w:szCs w:val="22"/>
        </w:rPr>
      </w:pPr>
    </w:p>
    <w:p w14:paraId="5E8C7EB9" w14:textId="77777777" w:rsidR="00BD714B" w:rsidRDefault="00BD714B" w:rsidP="003D6BAF">
      <w:pPr>
        <w:rPr>
          <w:rFonts w:ascii="Invesco Interstate Light" w:hAnsi="Invesco Interstate Light"/>
          <w:b/>
          <w:bCs/>
          <w:sz w:val="22"/>
          <w:szCs w:val="22"/>
        </w:rPr>
      </w:pPr>
    </w:p>
    <w:p w14:paraId="0DC6090D" w14:textId="5D4C98BD" w:rsidR="003D6BAF" w:rsidRDefault="003D6BAF" w:rsidP="003D6BAF">
      <w:pPr>
        <w:rPr>
          <w:rFonts w:ascii="Invesco Interstate Light" w:hAnsi="Invesco Interstate Light"/>
          <w:b/>
          <w:bCs/>
          <w:sz w:val="22"/>
          <w:szCs w:val="22"/>
        </w:rPr>
      </w:pPr>
      <w:r>
        <w:rPr>
          <w:rFonts w:ascii="Invesco Interstate Light" w:hAnsi="Invesco Interstate Light"/>
          <w:b/>
          <w:bCs/>
          <w:sz w:val="22"/>
          <w:szCs w:val="22"/>
        </w:rPr>
        <w:lastRenderedPageBreak/>
        <w:t>Cena zlata a americký dolar</w:t>
      </w:r>
    </w:p>
    <w:p w14:paraId="4C6AD6A4" w14:textId="77777777" w:rsidR="00A357C8" w:rsidRDefault="00A357C8" w:rsidP="00A357C8">
      <w:pPr>
        <w:spacing w:line="276" w:lineRule="auto"/>
        <w:jc w:val="both"/>
        <w:rPr>
          <w:rFonts w:ascii="Invesco Interstate Light" w:hAnsi="Invesco Interstate Light"/>
          <w:sz w:val="22"/>
          <w:szCs w:val="22"/>
        </w:rPr>
      </w:pPr>
    </w:p>
    <w:p w14:paraId="7D257B61" w14:textId="77777777" w:rsidR="00BD714B" w:rsidRDefault="00BD714B" w:rsidP="00BD714B">
      <w:pPr>
        <w:spacing w:line="276" w:lineRule="auto"/>
        <w:jc w:val="both"/>
        <w:rPr>
          <w:rFonts w:ascii="Invesco Interstate Light" w:eastAsiaTheme="minorEastAsia" w:hAnsi="Invesco Interstate Light"/>
          <w:i/>
          <w:iCs/>
          <w:sz w:val="22"/>
          <w:szCs w:val="22"/>
        </w:rPr>
      </w:pPr>
      <w:r>
        <w:rPr>
          <w:rFonts w:ascii="Invesco Interstate Light" w:hAnsi="Invesco Interstate Light"/>
          <w:noProof/>
          <w:sz w:val="22"/>
          <w:szCs w:val="22"/>
        </w:rPr>
        <w:drawing>
          <wp:inline distT="0" distB="0" distL="0" distR="0" wp14:anchorId="3544D912" wp14:editId="547EF766">
            <wp:extent cx="6108065" cy="3053715"/>
            <wp:effectExtent l="0" t="0" r="6985" b="0"/>
            <wp:docPr id="110536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6939" name="Obrázek 110536939"/>
                    <pic:cNvPicPr/>
                  </pic:nvPicPr>
                  <pic:blipFill>
                    <a:blip r:embed="rId13">
                      <a:extLst>
                        <a:ext uri="{28A0092B-C50C-407E-A947-70E740481C1C}">
                          <a14:useLocalDpi xmlns:a14="http://schemas.microsoft.com/office/drawing/2010/main" val="0"/>
                        </a:ext>
                      </a:extLst>
                    </a:blip>
                    <a:stretch>
                      <a:fillRect/>
                    </a:stretch>
                  </pic:blipFill>
                  <pic:spPr>
                    <a:xfrm>
                      <a:off x="0" y="0"/>
                      <a:ext cx="6108065" cy="3053715"/>
                    </a:xfrm>
                    <a:prstGeom prst="rect">
                      <a:avLst/>
                    </a:prstGeom>
                  </pic:spPr>
                </pic:pic>
              </a:graphicData>
            </a:graphic>
          </wp:inline>
        </w:drawing>
      </w:r>
      <w:r>
        <w:rPr>
          <w:rFonts w:ascii="Invesco Interstate Light" w:hAnsi="Invesco Interstate Light"/>
          <w:sz w:val="22"/>
          <w:szCs w:val="22"/>
        </w:rPr>
        <w:br/>
      </w:r>
      <w:r>
        <w:rPr>
          <w:rFonts w:ascii="Invesco Interstate Light" w:eastAsiaTheme="minorEastAsia" w:hAnsi="Invesco Interstate Light"/>
          <w:i/>
          <w:iCs/>
          <w:sz w:val="22"/>
          <w:szCs w:val="22"/>
        </w:rPr>
        <w:t xml:space="preserve">Zdroj: </w:t>
      </w:r>
      <w:proofErr w:type="spellStart"/>
      <w:r>
        <w:rPr>
          <w:rFonts w:ascii="Invesco Interstate Light" w:eastAsiaTheme="minorEastAsia" w:hAnsi="Invesco Interstate Light"/>
          <w:i/>
          <w:iCs/>
          <w:sz w:val="22"/>
          <w:szCs w:val="22"/>
        </w:rPr>
        <w:t>Bloomberg</w:t>
      </w:r>
      <w:proofErr w:type="spellEnd"/>
      <w:r>
        <w:rPr>
          <w:rFonts w:ascii="Invesco Interstate Light" w:eastAsiaTheme="minorEastAsia" w:hAnsi="Invesco Interstate Light"/>
          <w:i/>
          <w:iCs/>
          <w:sz w:val="22"/>
          <w:szCs w:val="22"/>
        </w:rPr>
        <w:t>, 31.října 2023. Minulá výkonnost nepředvídá budoucí výnosy.</w:t>
      </w:r>
    </w:p>
    <w:p w14:paraId="197090F7" w14:textId="77777777" w:rsidR="00BD714B" w:rsidRDefault="00BD714B" w:rsidP="00A357C8">
      <w:pPr>
        <w:spacing w:line="276" w:lineRule="auto"/>
        <w:jc w:val="both"/>
        <w:rPr>
          <w:rFonts w:ascii="Invesco Interstate Light" w:hAnsi="Invesco Interstate Light"/>
          <w:sz w:val="22"/>
          <w:szCs w:val="22"/>
        </w:rPr>
      </w:pPr>
    </w:p>
    <w:p w14:paraId="39B93A67" w14:textId="5993E2CC" w:rsidR="00A357C8" w:rsidRDefault="003D6BAF" w:rsidP="00A357C8">
      <w:pPr>
        <w:spacing w:line="276" w:lineRule="auto"/>
        <w:jc w:val="both"/>
        <w:rPr>
          <w:rFonts w:ascii="Invesco Interstate Light" w:hAnsi="Invesco Interstate Light"/>
          <w:sz w:val="22"/>
          <w:szCs w:val="22"/>
        </w:rPr>
      </w:pPr>
      <w:r>
        <w:rPr>
          <w:rFonts w:ascii="Invesco Interstate Light" w:hAnsi="Invesco Interstate Light"/>
          <w:sz w:val="22"/>
          <w:szCs w:val="22"/>
        </w:rPr>
        <w:t xml:space="preserve">Zlato také v říjnu přerušilo své tradiční postavení vůči dolaru, když se obojí obchodovalo výše. Dolar přitom přidal 0,5 %. Jedním z důvodů, proč dolar v říjnu zaznamenal zisky, bylo zklamání z Bank </w:t>
      </w:r>
      <w:proofErr w:type="spellStart"/>
      <w:r>
        <w:rPr>
          <w:rFonts w:ascii="Invesco Interstate Light" w:hAnsi="Invesco Interstate Light"/>
          <w:sz w:val="22"/>
          <w:szCs w:val="22"/>
        </w:rPr>
        <w:t>of</w:t>
      </w:r>
      <w:proofErr w:type="spellEnd"/>
      <w:r>
        <w:rPr>
          <w:rFonts w:ascii="Invesco Interstate Light" w:hAnsi="Invesco Interstate Light"/>
          <w:sz w:val="22"/>
          <w:szCs w:val="22"/>
        </w:rPr>
        <w:t xml:space="preserve"> Japan na konci měsíce. Dolar je obecně podporován </w:t>
      </w:r>
      <w:proofErr w:type="spellStart"/>
      <w:r>
        <w:rPr>
          <w:rFonts w:ascii="Invesco Interstate Light" w:hAnsi="Invesco Interstate Light"/>
          <w:sz w:val="22"/>
          <w:szCs w:val="22"/>
        </w:rPr>
        <w:t>Fedem</w:t>
      </w:r>
      <w:proofErr w:type="spellEnd"/>
      <w:r>
        <w:rPr>
          <w:rFonts w:ascii="Invesco Interstate Light" w:hAnsi="Invesco Interstate Light"/>
          <w:sz w:val="22"/>
          <w:szCs w:val="22"/>
        </w:rPr>
        <w:t>, který je v současné době v jestřábí pozici v „hejnu“ centrálních bank. Nesprávné ocenění úrokového diferenciálu je zřejmým rizikem pro posílení dolaru.</w:t>
      </w:r>
    </w:p>
    <w:p w14:paraId="55EE8619" w14:textId="77777777" w:rsidR="003D6BAF" w:rsidRDefault="003D6BAF" w:rsidP="00A357C8">
      <w:pPr>
        <w:spacing w:line="276" w:lineRule="auto"/>
        <w:jc w:val="both"/>
        <w:rPr>
          <w:rFonts w:ascii="Invesco Interstate Light" w:hAnsi="Invesco Interstate Light"/>
          <w:sz w:val="22"/>
          <w:szCs w:val="22"/>
        </w:rPr>
      </w:pPr>
    </w:p>
    <w:p w14:paraId="75947405" w14:textId="1D182D16" w:rsidR="003D6BAF" w:rsidRPr="003C53BD" w:rsidRDefault="003D6BAF" w:rsidP="00A357C8">
      <w:pPr>
        <w:spacing w:line="276" w:lineRule="auto"/>
        <w:jc w:val="both"/>
        <w:rPr>
          <w:rFonts w:ascii="Invesco Interstate Light" w:eastAsiaTheme="minorEastAsia" w:hAnsi="Invesco Interstate Light"/>
          <w:sz w:val="22"/>
          <w:szCs w:val="22"/>
        </w:rPr>
      </w:pPr>
      <w:r>
        <w:rPr>
          <w:rFonts w:ascii="Invesco Interstate Light" w:hAnsi="Invesco Interstate Light"/>
          <w:sz w:val="22"/>
          <w:szCs w:val="22"/>
        </w:rPr>
        <w:t xml:space="preserve">Oslabení dolaru by mohly způsobit nižší výnosy státních dluhopisů. Rychlý růst výnosů některé investory znervóznil, což přímo prospělo zlatu, ale méně atraktivní výhled výnosů by zlato relativně zvýhodnil. </w:t>
      </w:r>
    </w:p>
    <w:p w14:paraId="0186553F" w14:textId="77777777" w:rsidR="00B65FF5" w:rsidRDefault="00B65FF5" w:rsidP="00B65FF5">
      <w:pPr>
        <w:spacing w:line="276" w:lineRule="auto"/>
        <w:jc w:val="both"/>
        <w:rPr>
          <w:rFonts w:ascii="Invesco Interstate Light" w:eastAsiaTheme="minorEastAsia" w:hAnsi="Invesco Interstate Light"/>
          <w:sz w:val="22"/>
          <w:szCs w:val="22"/>
        </w:rPr>
      </w:pPr>
    </w:p>
    <w:p w14:paraId="19810FDB" w14:textId="0848CCE2" w:rsidR="00B65FF5" w:rsidRPr="00A357C8" w:rsidRDefault="003D6BAF" w:rsidP="00B65FF5">
      <w:pPr>
        <w:spacing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Investovat do zlata je v České republice možné prostřednictvím </w:t>
      </w:r>
      <w:proofErr w:type="spellStart"/>
      <w:r>
        <w:rPr>
          <w:rFonts w:ascii="Invesco Interstate Light" w:eastAsiaTheme="minorEastAsia" w:hAnsi="Invesco Interstate Light"/>
          <w:sz w:val="22"/>
          <w:szCs w:val="22"/>
        </w:rPr>
        <w:t>ETFka</w:t>
      </w:r>
      <w:proofErr w:type="spellEnd"/>
      <w:r>
        <w:rPr>
          <w:rFonts w:ascii="Invesco Interstate Light" w:eastAsiaTheme="minorEastAsia" w:hAnsi="Invesco Interstate Light"/>
          <w:sz w:val="22"/>
          <w:szCs w:val="22"/>
        </w:rPr>
        <w:t xml:space="preserve"> </w:t>
      </w:r>
      <w:proofErr w:type="spellStart"/>
      <w:r>
        <w:rPr>
          <w:rFonts w:ascii="Invesco Interstate Light" w:eastAsiaTheme="minorEastAsia" w:hAnsi="Invesco Interstate Light"/>
          <w:sz w:val="22"/>
          <w:szCs w:val="22"/>
        </w:rPr>
        <w:t>Invesco</w:t>
      </w:r>
      <w:proofErr w:type="spellEnd"/>
      <w:r>
        <w:rPr>
          <w:rFonts w:ascii="Invesco Interstate Light" w:eastAsiaTheme="minorEastAsia" w:hAnsi="Invesco Interstate Light"/>
          <w:sz w:val="22"/>
          <w:szCs w:val="22"/>
        </w:rPr>
        <w:t xml:space="preserve"> </w:t>
      </w:r>
      <w:proofErr w:type="spellStart"/>
      <w:r>
        <w:rPr>
          <w:rFonts w:ascii="Invesco Interstate Light" w:eastAsiaTheme="minorEastAsia" w:hAnsi="Invesco Interstate Light"/>
          <w:sz w:val="22"/>
          <w:szCs w:val="22"/>
        </w:rPr>
        <w:t>Physical</w:t>
      </w:r>
      <w:proofErr w:type="spellEnd"/>
      <w:r>
        <w:rPr>
          <w:rFonts w:ascii="Invesco Interstate Light" w:eastAsiaTheme="minorEastAsia" w:hAnsi="Invesco Interstate Light"/>
          <w:sz w:val="22"/>
          <w:szCs w:val="22"/>
        </w:rPr>
        <w:t xml:space="preserve"> Gold ETC.</w:t>
      </w:r>
    </w:p>
    <w:p w14:paraId="074A0EBA" w14:textId="77777777" w:rsidR="00A357C8" w:rsidRDefault="00A357C8" w:rsidP="00B65FF5">
      <w:pPr>
        <w:spacing w:line="276" w:lineRule="auto"/>
        <w:jc w:val="both"/>
        <w:rPr>
          <w:rFonts w:ascii="Invesco Interstate Light" w:eastAsiaTheme="minorEastAsia" w:hAnsi="Invesco Interstate Light"/>
          <w:sz w:val="22"/>
          <w:szCs w:val="22"/>
        </w:rPr>
      </w:pPr>
    </w:p>
    <w:p w14:paraId="12951A6A" w14:textId="315FECAB" w:rsidR="00A357C8" w:rsidRDefault="00A357C8" w:rsidP="00A357C8">
      <w:pPr>
        <w:spacing w:line="276" w:lineRule="auto"/>
        <w:jc w:val="both"/>
      </w:pPr>
    </w:p>
    <w:p w14:paraId="62AC3144" w14:textId="77777777" w:rsidR="00A624F1" w:rsidRDefault="00A624F1" w:rsidP="002D1D74">
      <w:pPr>
        <w:spacing w:line="276" w:lineRule="auto"/>
        <w:jc w:val="both"/>
        <w:rPr>
          <w:rFonts w:ascii="Invesco Interstate Light" w:eastAsiaTheme="minorEastAsia" w:hAnsi="Invesco Interstate Light"/>
          <w:sz w:val="22"/>
          <w:szCs w:val="22"/>
        </w:rPr>
      </w:pPr>
    </w:p>
    <w:p w14:paraId="63CDED98" w14:textId="77777777" w:rsidR="00BD714B" w:rsidRDefault="00BD714B" w:rsidP="002D1D74">
      <w:pPr>
        <w:spacing w:line="276" w:lineRule="auto"/>
        <w:jc w:val="both"/>
        <w:rPr>
          <w:rFonts w:ascii="Invesco Interstate Light" w:eastAsiaTheme="minorEastAsia" w:hAnsi="Invesco Interstate Light"/>
          <w:sz w:val="22"/>
          <w:szCs w:val="22"/>
        </w:rPr>
      </w:pPr>
    </w:p>
    <w:p w14:paraId="79521A53" w14:textId="77777777" w:rsidR="00BD714B" w:rsidRDefault="00BD714B" w:rsidP="002D1D74">
      <w:pPr>
        <w:spacing w:line="276" w:lineRule="auto"/>
        <w:jc w:val="both"/>
        <w:rPr>
          <w:rFonts w:ascii="Invesco Interstate Light" w:eastAsiaTheme="minorEastAsia" w:hAnsi="Invesco Interstate Light"/>
          <w:sz w:val="22"/>
          <w:szCs w:val="22"/>
        </w:rPr>
      </w:pPr>
    </w:p>
    <w:p w14:paraId="7CD4A37E" w14:textId="77777777" w:rsidR="00BD714B" w:rsidRDefault="00BD714B" w:rsidP="002D1D74">
      <w:pPr>
        <w:spacing w:line="276" w:lineRule="auto"/>
        <w:jc w:val="both"/>
        <w:rPr>
          <w:rFonts w:ascii="Invesco Interstate Light" w:eastAsiaTheme="minorEastAsia" w:hAnsi="Invesco Interstate Light"/>
          <w:sz w:val="22"/>
          <w:szCs w:val="22"/>
        </w:rPr>
      </w:pPr>
    </w:p>
    <w:p w14:paraId="4F8608FA" w14:textId="77777777" w:rsidR="00BD714B" w:rsidRDefault="00BD714B" w:rsidP="002D1D74">
      <w:pPr>
        <w:spacing w:line="276" w:lineRule="auto"/>
        <w:jc w:val="both"/>
        <w:rPr>
          <w:rFonts w:ascii="Invesco Interstate Light" w:eastAsiaTheme="minorEastAsia" w:hAnsi="Invesco Interstate Light"/>
          <w:sz w:val="22"/>
          <w:szCs w:val="22"/>
        </w:rPr>
      </w:pPr>
    </w:p>
    <w:p w14:paraId="4EAE315F" w14:textId="77777777" w:rsidR="00BD714B" w:rsidRDefault="00BD714B" w:rsidP="002D1D74">
      <w:pPr>
        <w:spacing w:line="276" w:lineRule="auto"/>
        <w:jc w:val="both"/>
        <w:rPr>
          <w:rFonts w:ascii="Invesco Interstate Light" w:eastAsiaTheme="minorEastAsia" w:hAnsi="Invesco Interstate Light"/>
          <w:sz w:val="22"/>
          <w:szCs w:val="22"/>
        </w:rPr>
      </w:pPr>
    </w:p>
    <w:p w14:paraId="684F2F11" w14:textId="77777777" w:rsidR="00BD714B" w:rsidRDefault="00BD714B" w:rsidP="002D1D74">
      <w:pPr>
        <w:spacing w:line="276" w:lineRule="auto"/>
        <w:jc w:val="both"/>
        <w:rPr>
          <w:rFonts w:ascii="Invesco Interstate Light" w:eastAsiaTheme="minorEastAsia" w:hAnsi="Invesco Interstate Light"/>
          <w:sz w:val="22"/>
          <w:szCs w:val="22"/>
        </w:rPr>
      </w:pPr>
    </w:p>
    <w:p w14:paraId="25EA7D27" w14:textId="77777777" w:rsidR="00BD714B" w:rsidRDefault="00BD714B" w:rsidP="002D1D74">
      <w:pPr>
        <w:spacing w:line="276" w:lineRule="auto"/>
        <w:jc w:val="both"/>
        <w:rPr>
          <w:rFonts w:ascii="Invesco Interstate Light" w:eastAsiaTheme="minorEastAsia" w:hAnsi="Invesco Interstate Light"/>
          <w:sz w:val="22"/>
          <w:szCs w:val="22"/>
        </w:rPr>
      </w:pPr>
    </w:p>
    <w:p w14:paraId="5AE2ED57" w14:textId="77777777" w:rsidR="00BD714B" w:rsidRDefault="00BD714B" w:rsidP="002D1D74">
      <w:pPr>
        <w:spacing w:line="276" w:lineRule="auto"/>
        <w:jc w:val="both"/>
        <w:rPr>
          <w:rFonts w:ascii="Invesco Interstate Light" w:eastAsiaTheme="minorEastAsia" w:hAnsi="Invesco Interstate Light"/>
          <w:sz w:val="22"/>
          <w:szCs w:val="22"/>
        </w:rPr>
      </w:pPr>
    </w:p>
    <w:p w14:paraId="065BF08F" w14:textId="77777777" w:rsidR="00BD714B" w:rsidRDefault="00BD714B" w:rsidP="002D1D74">
      <w:pPr>
        <w:spacing w:line="276" w:lineRule="auto"/>
        <w:jc w:val="both"/>
        <w:rPr>
          <w:rFonts w:ascii="Invesco Interstate Light" w:eastAsiaTheme="minorEastAsia" w:hAnsi="Invesco Interstate Light"/>
          <w:sz w:val="22"/>
          <w:szCs w:val="22"/>
        </w:rPr>
      </w:pPr>
    </w:p>
    <w:p w14:paraId="40995ABC" w14:textId="77777777" w:rsidR="003D6BAF" w:rsidRPr="000061D4" w:rsidRDefault="003D6BAF" w:rsidP="002D1D74">
      <w:pPr>
        <w:spacing w:line="276" w:lineRule="auto"/>
        <w:jc w:val="both"/>
        <w:rPr>
          <w:rFonts w:ascii="Invesco Interstate Light" w:eastAsiaTheme="minorEastAsia" w:hAnsi="Invesco Interstate Light"/>
          <w:sz w:val="22"/>
          <w:szCs w:val="22"/>
        </w:rPr>
      </w:pPr>
    </w:p>
    <w:p w14:paraId="02EAD7FF"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066D0065"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1EB4E35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C83018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8DE5CB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3597B14F"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1779F72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D0C13CC"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1360578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20A5E0F"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12C75000"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0354CEDE"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90DD55" w14:textId="69CE2F9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008A19AC">
        <w:rPr>
          <w:rFonts w:ascii="Invesco Interstate Light" w:hAnsi="Invesco Interstate Light"/>
          <w:sz w:val="22"/>
          <w:szCs w:val="22"/>
        </w:rPr>
        <w:t xml:space="preserve"> </w:t>
      </w:r>
      <w:r w:rsidR="008A19AC" w:rsidRPr="008A19AC">
        <w:rPr>
          <w:rFonts w:ascii="Invesco Interstate Light" w:hAnsi="Invesco Interstate Light"/>
          <w:sz w:val="22"/>
          <w:szCs w:val="22"/>
        </w:rPr>
        <w:t>–</w:t>
      </w:r>
      <w:r w:rsidR="008A19AC" w:rsidRPr="00531DF7">
        <w:rPr>
          <w:rFonts w:ascii="Invesco Interstate Light" w:hAnsi="Invesco Interstate Light"/>
          <w:sz w:val="22"/>
          <w:szCs w:val="22"/>
        </w:rPr>
        <w:t xml:space="preserve"> </w:t>
      </w:r>
      <w:r w:rsidRPr="00654055">
        <w:rPr>
          <w:rFonts w:ascii="Invesco Interstate Light" w:hAnsi="Invesco Interstate Light"/>
          <w:sz w:val="22"/>
          <w:szCs w:val="22"/>
        </w:rPr>
        <w:t xml:space="preserve">jsou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3B87F90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A6A12C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26053B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44773B2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D2584E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1367E60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EFCA0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71250B5C"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531AC74"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4DB1A47F"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33008B7B" w14:textId="77777777" w:rsidR="00861B48" w:rsidRPr="00861B48" w:rsidRDefault="00861B48" w:rsidP="00861B48">
      <w:pPr>
        <w:spacing w:line="240" w:lineRule="auto"/>
        <w:rPr>
          <w:rFonts w:ascii="Invesco Interstate Light" w:hAnsi="Invesco Interstate Light"/>
          <w:b/>
          <w:sz w:val="22"/>
          <w:szCs w:val="22"/>
          <w:u w:val="single"/>
        </w:rPr>
      </w:pPr>
    </w:p>
    <w:p w14:paraId="36F3C460"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40C176C9"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58F6C3AD" w14:textId="77777777" w:rsidR="002355DD" w:rsidRPr="00873CBF" w:rsidRDefault="002355DD" w:rsidP="002355DD">
      <w:pPr>
        <w:spacing w:line="240" w:lineRule="exact"/>
        <w:rPr>
          <w:rFonts w:ascii="Invesco Interstate Light" w:hAnsi="Invesco Interstate Light"/>
          <w:sz w:val="22"/>
          <w:szCs w:val="22"/>
        </w:rPr>
      </w:pPr>
    </w:p>
    <w:p w14:paraId="0DBDA8B4"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FFDC79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5DF19F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5AF4DDD8" w14:textId="77777777" w:rsidR="002355DD" w:rsidRDefault="002355DD" w:rsidP="00907B79">
      <w:pPr>
        <w:spacing w:line="240" w:lineRule="exact"/>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7EEF86A0" w14:textId="77777777" w:rsidR="00A357C8" w:rsidRPr="00907B79" w:rsidRDefault="00A357C8" w:rsidP="00907B79">
      <w:pPr>
        <w:spacing w:line="240" w:lineRule="exact"/>
        <w:rPr>
          <w:rFonts w:ascii="Invesco Interstate Light" w:hAnsi="Invesco Interstate Light"/>
          <w:sz w:val="22"/>
          <w:szCs w:val="22"/>
        </w:rPr>
      </w:pPr>
    </w:p>
    <w:sectPr w:rsidR="00A357C8" w:rsidRPr="00907B79"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00963" w14:textId="77777777" w:rsidR="00EF0DBB" w:rsidRDefault="00EF0DBB">
      <w:r>
        <w:separator/>
      </w:r>
    </w:p>
  </w:endnote>
  <w:endnote w:type="continuationSeparator" w:id="0">
    <w:p w14:paraId="0DA37F19" w14:textId="77777777" w:rsidR="00EF0DBB" w:rsidRDefault="00EF0DBB">
      <w:r>
        <w:continuationSeparator/>
      </w:r>
    </w:p>
  </w:endnote>
  <w:endnote w:type="continuationNotice" w:id="1">
    <w:p w14:paraId="0FBE575F" w14:textId="77777777" w:rsidR="00EF0DBB" w:rsidRDefault="00EF0D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FA53" w14:textId="77777777" w:rsidR="00EF0DBB" w:rsidRDefault="00EF0DBB">
      <w:r>
        <w:separator/>
      </w:r>
    </w:p>
  </w:footnote>
  <w:footnote w:type="continuationSeparator" w:id="0">
    <w:p w14:paraId="724F4B83" w14:textId="77777777" w:rsidR="00EF0DBB" w:rsidRDefault="00EF0DBB">
      <w:r>
        <w:continuationSeparator/>
      </w:r>
    </w:p>
  </w:footnote>
  <w:footnote w:type="continuationNotice" w:id="1">
    <w:p w14:paraId="0DA67C42" w14:textId="77777777" w:rsidR="00EF0DBB" w:rsidRDefault="00EF0DB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F940"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FE9FC4F" wp14:editId="5E813EB6">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4624CC63"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CC1DE64" w14:textId="7AEC0134" w:rsidR="00702C33" w:rsidRPr="000730A6" w:rsidRDefault="00D16F3D" w:rsidP="0083625E">
    <w:pPr>
      <w:pStyle w:val="Zhlav"/>
      <w:pBdr>
        <w:top w:val="single" w:sz="4" w:space="3" w:color="auto"/>
      </w:pBdr>
      <w:spacing w:line="298" w:lineRule="exact"/>
      <w:ind w:left="3402"/>
      <w:jc w:val="right"/>
      <w:rPr>
        <w:color w:val="000000"/>
        <w:sz w:val="28"/>
        <w:szCs w:val="28"/>
      </w:rPr>
    </w:pPr>
    <w:r>
      <w:rPr>
        <w:color w:val="000000"/>
        <w:sz w:val="28"/>
        <w:szCs w:val="28"/>
      </w:rPr>
      <w:t>1</w:t>
    </w:r>
    <w:r w:rsidR="008D6EF0">
      <w:rPr>
        <w:color w:val="000000"/>
        <w:sz w:val="28"/>
        <w:szCs w:val="28"/>
      </w:rPr>
      <w:t>4</w:t>
    </w:r>
    <w:r w:rsidR="0083625E">
      <w:rPr>
        <w:color w:val="000000"/>
        <w:sz w:val="28"/>
        <w:szCs w:val="28"/>
      </w:rPr>
      <w:t>.</w:t>
    </w:r>
    <w:r w:rsidR="00A357C8">
      <w:rPr>
        <w:color w:val="000000"/>
        <w:sz w:val="28"/>
        <w:szCs w:val="28"/>
      </w:rPr>
      <w:t>1</w:t>
    </w:r>
    <w:r w:rsidR="008D6EF0">
      <w:rPr>
        <w:color w:val="000000"/>
        <w:sz w:val="28"/>
        <w:szCs w:val="28"/>
      </w:rPr>
      <w:t>1</w:t>
    </w:r>
    <w:r w:rsidR="0083625E">
      <w:rPr>
        <w:color w:val="000000"/>
        <w:sz w:val="28"/>
        <w:szCs w:val="28"/>
      </w:rPr>
      <w:t>.2023</w:t>
    </w:r>
  </w:p>
  <w:p w14:paraId="047D4F7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65D3C8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1E6D8E9"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01C3764"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0C0979E9"/>
    <w:multiLevelType w:val="hybridMultilevel"/>
    <w:tmpl w:val="283ABE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0D647B"/>
    <w:multiLevelType w:val="hybridMultilevel"/>
    <w:tmpl w:val="39BAE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165B8"/>
    <w:multiLevelType w:val="hybridMultilevel"/>
    <w:tmpl w:val="1BD884E6"/>
    <w:lvl w:ilvl="0" w:tplc="14BCEC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795710">
    <w:abstractNumId w:val="0"/>
  </w:num>
  <w:num w:numId="2" w16cid:durableId="411783731">
    <w:abstractNumId w:val="12"/>
  </w:num>
  <w:num w:numId="3" w16cid:durableId="665091332">
    <w:abstractNumId w:val="20"/>
  </w:num>
  <w:num w:numId="4" w16cid:durableId="1401293080">
    <w:abstractNumId w:val="13"/>
  </w:num>
  <w:num w:numId="5" w16cid:durableId="217521865">
    <w:abstractNumId w:val="15"/>
  </w:num>
  <w:num w:numId="6" w16cid:durableId="1685329295">
    <w:abstractNumId w:val="22"/>
  </w:num>
  <w:num w:numId="7" w16cid:durableId="1578828182">
    <w:abstractNumId w:val="23"/>
  </w:num>
  <w:num w:numId="8" w16cid:durableId="1629975226">
    <w:abstractNumId w:val="1"/>
  </w:num>
  <w:num w:numId="9" w16cid:durableId="1761679728">
    <w:abstractNumId w:val="25"/>
  </w:num>
  <w:num w:numId="10" w16cid:durableId="1716927321">
    <w:abstractNumId w:val="11"/>
  </w:num>
  <w:num w:numId="11" w16cid:durableId="283461126">
    <w:abstractNumId w:val="4"/>
  </w:num>
  <w:num w:numId="12" w16cid:durableId="89489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247757">
    <w:abstractNumId w:val="30"/>
  </w:num>
  <w:num w:numId="14" w16cid:durableId="216820816">
    <w:abstractNumId w:val="31"/>
  </w:num>
  <w:num w:numId="15" w16cid:durableId="1267889811">
    <w:abstractNumId w:val="19"/>
  </w:num>
  <w:num w:numId="16" w16cid:durableId="1863664197">
    <w:abstractNumId w:val="7"/>
  </w:num>
  <w:num w:numId="17" w16cid:durableId="76677738">
    <w:abstractNumId w:val="2"/>
  </w:num>
  <w:num w:numId="18" w16cid:durableId="1279608384">
    <w:abstractNumId w:val="21"/>
  </w:num>
  <w:num w:numId="19" w16cid:durableId="399715814">
    <w:abstractNumId w:val="24"/>
  </w:num>
  <w:num w:numId="20" w16cid:durableId="1272587261">
    <w:abstractNumId w:val="28"/>
  </w:num>
  <w:num w:numId="21" w16cid:durableId="1724522083">
    <w:abstractNumId w:val="27"/>
  </w:num>
  <w:num w:numId="22" w16cid:durableId="583224944">
    <w:abstractNumId w:val="10"/>
  </w:num>
  <w:num w:numId="23" w16cid:durableId="1259756860">
    <w:abstractNumId w:val="18"/>
  </w:num>
  <w:num w:numId="24" w16cid:durableId="1510289740">
    <w:abstractNumId w:val="14"/>
  </w:num>
  <w:num w:numId="25" w16cid:durableId="289173266">
    <w:abstractNumId w:val="29"/>
  </w:num>
  <w:num w:numId="26" w16cid:durableId="49691424">
    <w:abstractNumId w:val="16"/>
  </w:num>
  <w:num w:numId="27" w16cid:durableId="1833178362">
    <w:abstractNumId w:val="3"/>
  </w:num>
  <w:num w:numId="28" w16cid:durableId="12001191">
    <w:abstractNumId w:val="6"/>
  </w:num>
  <w:num w:numId="29" w16cid:durableId="2043552666">
    <w:abstractNumId w:val="26"/>
  </w:num>
  <w:num w:numId="30" w16cid:durableId="533151254">
    <w:abstractNumId w:val="9"/>
  </w:num>
  <w:num w:numId="31" w16cid:durableId="536478855">
    <w:abstractNumId w:val="17"/>
  </w:num>
  <w:num w:numId="32" w16cid:durableId="1119836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700"/>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868"/>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C66"/>
    <w:rsid w:val="002C44E2"/>
    <w:rsid w:val="002C452E"/>
    <w:rsid w:val="002C4647"/>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B14"/>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327"/>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53BD"/>
    <w:rsid w:val="003C60D8"/>
    <w:rsid w:val="003C60F5"/>
    <w:rsid w:val="003C62E9"/>
    <w:rsid w:val="003D0B65"/>
    <w:rsid w:val="003D0F77"/>
    <w:rsid w:val="003D1079"/>
    <w:rsid w:val="003D1767"/>
    <w:rsid w:val="003D1C8B"/>
    <w:rsid w:val="003D1D82"/>
    <w:rsid w:val="003D3827"/>
    <w:rsid w:val="003D613F"/>
    <w:rsid w:val="003D6144"/>
    <w:rsid w:val="003D670F"/>
    <w:rsid w:val="003D6BA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07BFE"/>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1DF7"/>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54BB"/>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0E5"/>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513"/>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2E51"/>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34E1"/>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2FAB"/>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3B2"/>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9AC"/>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6EF0"/>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7C8"/>
    <w:rsid w:val="00A35BEF"/>
    <w:rsid w:val="00A362D9"/>
    <w:rsid w:val="00A36422"/>
    <w:rsid w:val="00A37469"/>
    <w:rsid w:val="00A41238"/>
    <w:rsid w:val="00A41792"/>
    <w:rsid w:val="00A4218F"/>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2B"/>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6D8"/>
    <w:rsid w:val="00BD27BA"/>
    <w:rsid w:val="00BD2ACF"/>
    <w:rsid w:val="00BD317F"/>
    <w:rsid w:val="00BD47E8"/>
    <w:rsid w:val="00BD4AF3"/>
    <w:rsid w:val="00BD684B"/>
    <w:rsid w:val="00BD6D92"/>
    <w:rsid w:val="00BD714B"/>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3CB"/>
    <w:rsid w:val="00D1468E"/>
    <w:rsid w:val="00D14EFB"/>
    <w:rsid w:val="00D15315"/>
    <w:rsid w:val="00D15985"/>
    <w:rsid w:val="00D1636C"/>
    <w:rsid w:val="00D16F3D"/>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5CE"/>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0DBB"/>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3BE"/>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EF60E"/>
  <w15:docId w15:val="{0E11E562-5CDE-47E5-8765-47394739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3C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DC6085-C529-4804-8443-1C2B3321F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4236</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2023-11-14T08:16:00Z</dcterms:created>
  <dcterms:modified xsi:type="dcterms:W3CDTF">2023-11-14T08:16:00Z</dcterms:modified>
</cp:coreProperties>
</file>