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FAF0D" w14:textId="77777777" w:rsidR="006C0694" w:rsidRPr="0085622D" w:rsidRDefault="006C0694" w:rsidP="00C00401">
      <w:pPr>
        <w:rPr>
          <w:rFonts w:cs="Open Sans"/>
        </w:rPr>
      </w:pPr>
    </w:p>
    <w:p w14:paraId="35020520" w14:textId="4D18C60C" w:rsidR="00052C56" w:rsidRPr="0085622D" w:rsidRDefault="0093300D" w:rsidP="00803EB2">
      <w:pPr>
        <w:pStyle w:val="Nadpis1"/>
        <w:rPr>
          <w:rFonts w:cs="Open Sans"/>
        </w:rPr>
      </w:pPr>
      <w:r w:rsidRPr="0093300D">
        <w:rPr>
          <w:rFonts w:cs="Open Sans"/>
        </w:rPr>
        <w:t xml:space="preserve">Úvěrů na udržitelné bydlení je široká škála, </w:t>
      </w:r>
      <w:r w:rsidR="00FE36EA">
        <w:rPr>
          <w:rFonts w:cs="Open Sans"/>
        </w:rPr>
        <w:t>teď už</w:t>
      </w:r>
      <w:r w:rsidRPr="0093300D">
        <w:rPr>
          <w:rFonts w:cs="Open Sans"/>
        </w:rPr>
        <w:t xml:space="preserve"> si</w:t>
      </w:r>
      <w:r w:rsidR="00FE36EA">
        <w:rPr>
          <w:rFonts w:cs="Open Sans"/>
        </w:rPr>
        <w:t xml:space="preserve"> jen</w:t>
      </w:r>
      <w:r w:rsidRPr="0093300D">
        <w:rPr>
          <w:rFonts w:cs="Open Sans"/>
        </w:rPr>
        <w:t xml:space="preserve"> </w:t>
      </w:r>
      <w:r w:rsidR="00046406">
        <w:rPr>
          <w:rFonts w:cs="Open Sans"/>
        </w:rPr>
        <w:t xml:space="preserve">dobře </w:t>
      </w:r>
      <w:r w:rsidRPr="0093300D">
        <w:rPr>
          <w:rFonts w:cs="Open Sans"/>
        </w:rPr>
        <w:t>vybrat…</w:t>
      </w:r>
    </w:p>
    <w:p w14:paraId="531D1589" w14:textId="6F1AF7AF" w:rsidR="000177F2" w:rsidRDefault="00581AC6" w:rsidP="00CB75B8">
      <w:pPr>
        <w:rPr>
          <w:rFonts w:cs="Open Sans"/>
          <w:b/>
          <w:bCs/>
        </w:rPr>
      </w:pPr>
      <w:r>
        <w:rPr>
          <w:rFonts w:cs="Open Sans"/>
          <w:b/>
          <w:bCs/>
        </w:rPr>
        <w:t xml:space="preserve">Praha </w:t>
      </w:r>
      <w:r w:rsidR="005F5D29">
        <w:rPr>
          <w:rFonts w:cs="Open Sans"/>
          <w:b/>
          <w:bCs/>
        </w:rPr>
        <w:t>4</w:t>
      </w:r>
      <w:r>
        <w:rPr>
          <w:rFonts w:cs="Open Sans"/>
          <w:b/>
          <w:bCs/>
        </w:rPr>
        <w:t xml:space="preserve">. </w:t>
      </w:r>
      <w:r w:rsidR="00E77E9F">
        <w:rPr>
          <w:rFonts w:cs="Open Sans"/>
          <w:b/>
          <w:bCs/>
        </w:rPr>
        <w:t>března</w:t>
      </w:r>
      <w:r>
        <w:rPr>
          <w:rFonts w:cs="Open Sans"/>
          <w:b/>
          <w:bCs/>
        </w:rPr>
        <w:t xml:space="preserve"> 2024 –</w:t>
      </w:r>
      <w:r w:rsidR="00E12436">
        <w:rPr>
          <w:rFonts w:cs="Open Sans"/>
          <w:b/>
          <w:bCs/>
        </w:rPr>
        <w:t xml:space="preserve"> </w:t>
      </w:r>
      <w:r w:rsidR="000177F2" w:rsidRPr="000177F2">
        <w:rPr>
          <w:rFonts w:cs="Open Sans"/>
          <w:b/>
          <w:bCs/>
        </w:rPr>
        <w:t>Úvěry na ekologické nebo udržitelné bydlení jsou speciálně navržené finanční produkty, které mají podpořit investice do zlepšení energetické efektivity, využití obnovitelných zdrojů energie a obecně k udržitelným způsobům bydlení. Poskytují je různé finanční instituce, včetně bank a stavebních spořitelen a jejich cílem je motivovat domácnosti i firmy k investicím, které vedou ke snížení energetické náročnosti budov a k pozitivnímu dopadu na životní prostředí.</w:t>
      </w:r>
    </w:p>
    <w:p w14:paraId="39DF6DF9" w14:textId="77777777" w:rsidR="000177F2" w:rsidRPr="00F65DEE" w:rsidRDefault="000177F2" w:rsidP="000177F2">
      <w:r w:rsidRPr="00F65DEE">
        <w:t xml:space="preserve">Banky a stavební spořitelny nabízejí úvěrové produkty zaměřené na financování vylepšení domácností nebo novostaveb s důrazem na udržitelnost. Existují také vládní a regionální programy poskytující granty, úvěry s výhodnější úrokovou sazbou, dotace, daňové úlevy nebo jiné finanční pobídky pro podporu ekologického bydlení, stejně jako nebankovní fondy, které kladou důraz na inovace nebo sociální dopad. Všichni tito poskytovatelé reagují na rostoucí zájem veřejnosti o udržitelné bydlení a na legislativní opatření, která podporují energetickou efektivitu a udržitelnost. </w:t>
      </w:r>
    </w:p>
    <w:p w14:paraId="4B8ACCF6" w14:textId="1AA032A4" w:rsidR="000177F2" w:rsidRPr="00F65DEE" w:rsidRDefault="000177F2" w:rsidP="000177F2">
      <w:r w:rsidRPr="00F65DEE">
        <w:t>Úvěry na udržitelné bydlení mohou investoři využít na širokou škálu opatření</w:t>
      </w:r>
      <w:r w:rsidR="00B0017B">
        <w:t xml:space="preserve"> –</w:t>
      </w:r>
      <w:r w:rsidRPr="00F65DEE">
        <w:t xml:space="preserve"> nejčastěji to je instalace solárních nebo fotovoltaických panelů, dále zateplení budov, konkrétně izolace střech, zdí a také výměna oken. Peníze také využívají na modernizaci vytápěcích a chladicích systémů, které vyměňují za jejich účinnější a ekologičtější varianty. Kromě úspor při vytápění majitele domů zajímají také možnosti instalace systémů pro šetrnou správu vody nebo systémy na sběr dešťové vody.</w:t>
      </w:r>
    </w:p>
    <w:p w14:paraId="587BCD9B" w14:textId="210DD234" w:rsidR="000177F2" w:rsidRPr="00F65DEE" w:rsidRDefault="000177F2" w:rsidP="000177F2">
      <w:r w:rsidRPr="00F65DEE">
        <w:t>Zájem o úvěry na udržitelné bydlení roste se zvyšujícím se povědomí</w:t>
      </w:r>
      <w:r w:rsidR="008F15FD">
        <w:t>m</w:t>
      </w:r>
      <w:r w:rsidRPr="00F65DEE">
        <w:t xml:space="preserve"> o klimatických změnách a legislativních opatřeních, které podporují energetickou efektivitu a udržitelnost. </w:t>
      </w:r>
      <w:r w:rsidRPr="003E455A">
        <w:rPr>
          <w:i/>
          <w:iCs/>
        </w:rPr>
        <w:t>„Podle našich zkušeností také mnoho lidí a firem hled</w:t>
      </w:r>
      <w:r w:rsidR="002B70E7">
        <w:rPr>
          <w:i/>
          <w:iCs/>
        </w:rPr>
        <w:t>á</w:t>
      </w:r>
      <w:r w:rsidRPr="003E455A">
        <w:rPr>
          <w:i/>
          <w:iCs/>
        </w:rPr>
        <w:t xml:space="preserve"> způsoby, jak snížit své energetické náklady, ale také zvýšit hodnotu svých nemovitostí, což právě úvěry na udržitelné bydlení umožňují,“</w:t>
      </w:r>
      <w:r w:rsidRPr="00F65DEE">
        <w:t xml:space="preserve"> </w:t>
      </w:r>
      <w:r>
        <w:t xml:space="preserve">říká Petr Motáček, úvěrový specialista ze společnosti </w:t>
      </w:r>
      <w:hyperlink r:id="rId11" w:history="1">
        <w:r w:rsidRPr="00D81965">
          <w:rPr>
            <w:rStyle w:val="Hypertextovodkaz"/>
            <w:color w:val="C45911" w:themeColor="accent2" w:themeShade="BF"/>
          </w:rPr>
          <w:t>FinGO</w:t>
        </w:r>
      </w:hyperlink>
      <w:r>
        <w:t>.</w:t>
      </w:r>
    </w:p>
    <w:p w14:paraId="208B898E" w14:textId="7CA0A6BB" w:rsidR="000177F2" w:rsidRPr="00F65DEE" w:rsidRDefault="000177F2" w:rsidP="000177F2">
      <w:r w:rsidRPr="00F65DEE">
        <w:t xml:space="preserve">Hodnotu nemovitostí zvyšují i všichni ti, kteří se přihlásili do nového dotačního programu </w:t>
      </w:r>
      <w:r w:rsidR="00A50422">
        <w:t>„</w:t>
      </w:r>
      <w:r w:rsidRPr="00F65DEE">
        <w:t>Oprav dům po babičce</w:t>
      </w:r>
      <w:r w:rsidR="00A50422">
        <w:t>“</w:t>
      </w:r>
      <w:r w:rsidRPr="00F65DEE">
        <w:t>, který je zaměřený na kompletní renovaci starších domů</w:t>
      </w:r>
      <w:r w:rsidR="009943C1">
        <w:t xml:space="preserve"> –</w:t>
      </w:r>
      <w:r w:rsidRPr="00F65DEE">
        <w:t xml:space="preserve"> také s cílem výrazně snížit energetické náklady na její provoz.</w:t>
      </w:r>
    </w:p>
    <w:p w14:paraId="710556EF" w14:textId="77777777" w:rsidR="00A50422" w:rsidRPr="00F65DEE" w:rsidRDefault="00A50422" w:rsidP="00A50422">
      <w:pPr>
        <w:rPr>
          <w:b/>
          <w:bCs/>
        </w:rPr>
      </w:pPr>
      <w:r w:rsidRPr="00F65DEE">
        <w:rPr>
          <w:b/>
          <w:bCs/>
        </w:rPr>
        <w:t>Kdo může o dotaci požádat?</w:t>
      </w:r>
    </w:p>
    <w:p w14:paraId="339E8CEA" w14:textId="4BB0AE1A" w:rsidR="00A50422" w:rsidRDefault="00A40B33" w:rsidP="00A50422">
      <w:r>
        <w:t>Požádat mohou v</w:t>
      </w:r>
      <w:r w:rsidR="00A50422" w:rsidRPr="00F65DEE">
        <w:t>lastníci rodinných domů nebo rekreačních objektů,</w:t>
      </w:r>
      <w:r w:rsidR="00A50422">
        <w:t xml:space="preserve"> pokud v nich mají trvalé bydliště,</w:t>
      </w:r>
      <w:r w:rsidR="00A50422" w:rsidRPr="00F65DEE">
        <w:t xml:space="preserve"> kteří jsou ekonomicky aktivní</w:t>
      </w:r>
      <w:r w:rsidR="00D24664">
        <w:t>.</w:t>
      </w:r>
      <w:r w:rsidR="00A50422" w:rsidRPr="00F65DEE">
        <w:t xml:space="preserve"> </w:t>
      </w:r>
      <w:r w:rsidR="00D24664">
        <w:t>T</w:t>
      </w:r>
      <w:r w:rsidR="00A50422" w:rsidRPr="00F65DEE">
        <w:t>edy zaměstnanci, zaměstnavatelé, osoby samostatně výdělečně činné, pracující důchodci, pracující studenti, stejně jako</w:t>
      </w:r>
      <w:r w:rsidR="002C2E3A">
        <w:t xml:space="preserve"> třeba</w:t>
      </w:r>
      <w:r w:rsidR="00A50422" w:rsidRPr="00F65DEE">
        <w:t xml:space="preserve"> rodiče na</w:t>
      </w:r>
      <w:r w:rsidR="004E41B1">
        <w:t> </w:t>
      </w:r>
      <w:r w:rsidR="00A50422" w:rsidRPr="00F65DEE">
        <w:t xml:space="preserve">mateřské dovolené. </w:t>
      </w:r>
    </w:p>
    <w:p w14:paraId="3663C901" w14:textId="77777777" w:rsidR="003A354B" w:rsidRDefault="00A50422" w:rsidP="00A50422">
      <w:r w:rsidRPr="00F65DEE">
        <w:t>Hlavním kritériem pro získání dotace je realizace optimálního zateplení</w:t>
      </w:r>
      <w:r>
        <w:t xml:space="preserve"> stěn, střechy a podlah</w:t>
      </w:r>
      <w:r w:rsidRPr="00F65DEE">
        <w:t>, které přináší požadované energetické úspory. Součástí žádosti o dotaci může být i podpora dalších úsporných opatření, včetně instalace fotovoltaiky, výměny</w:t>
      </w:r>
      <w:r>
        <w:t xml:space="preserve"> kotle</w:t>
      </w:r>
      <w:r w:rsidRPr="00F65DEE">
        <w:t>,</w:t>
      </w:r>
      <w:r>
        <w:t xml:space="preserve"> </w:t>
      </w:r>
      <w:r>
        <w:lastRenderedPageBreak/>
        <w:t>pořízení tepelného čerpadla,</w:t>
      </w:r>
      <w:r w:rsidRPr="00F65DEE">
        <w:t xml:space="preserve"> </w:t>
      </w:r>
      <w:r>
        <w:t xml:space="preserve">zavedení </w:t>
      </w:r>
      <w:r w:rsidRPr="00F65DEE">
        <w:t xml:space="preserve">systémů pro sběr </w:t>
      </w:r>
      <w:r>
        <w:t xml:space="preserve">a využití </w:t>
      </w:r>
      <w:r w:rsidRPr="00F65DEE">
        <w:t xml:space="preserve">dešťové </w:t>
      </w:r>
      <w:r>
        <w:t xml:space="preserve">nebo odpadní </w:t>
      </w:r>
      <w:r w:rsidRPr="00F65DEE">
        <w:t xml:space="preserve">vody, </w:t>
      </w:r>
      <w:r>
        <w:t xml:space="preserve">realizace zelené střechy, větrání s rekuperací, instalace nabíječky pro osobní elektroauto </w:t>
      </w:r>
      <w:r w:rsidRPr="00F65DEE">
        <w:t>a dalších.</w:t>
      </w:r>
    </w:p>
    <w:p w14:paraId="6490CF3D" w14:textId="083840D3" w:rsidR="00A50422" w:rsidRPr="007517BE" w:rsidRDefault="003A354B" w:rsidP="00A50422">
      <w:r>
        <w:rPr>
          <w:i/>
          <w:iCs/>
        </w:rPr>
        <w:t>„Poradci FinGO své klienty</w:t>
      </w:r>
      <w:r w:rsidR="00736FB4">
        <w:rPr>
          <w:i/>
          <w:iCs/>
        </w:rPr>
        <w:t xml:space="preserve"> dokáží</w:t>
      </w:r>
      <w:r>
        <w:rPr>
          <w:i/>
          <w:iCs/>
        </w:rPr>
        <w:t xml:space="preserve"> celým procesem získání dotace provést. </w:t>
      </w:r>
      <w:r w:rsidR="003060EB">
        <w:rPr>
          <w:i/>
          <w:iCs/>
        </w:rPr>
        <w:t>Rovněž jim, k</w:t>
      </w:r>
      <w:r>
        <w:rPr>
          <w:i/>
          <w:iCs/>
        </w:rPr>
        <w:t>romě pomoci se získáním dotace</w:t>
      </w:r>
      <w:r w:rsidR="003060EB">
        <w:rPr>
          <w:i/>
          <w:iCs/>
        </w:rPr>
        <w:t>,</w:t>
      </w:r>
      <w:r>
        <w:rPr>
          <w:i/>
          <w:iCs/>
        </w:rPr>
        <w:t xml:space="preserve"> </w:t>
      </w:r>
      <w:r w:rsidR="003060EB">
        <w:rPr>
          <w:i/>
          <w:iCs/>
        </w:rPr>
        <w:t>umí dodat spolehlivé experty na</w:t>
      </w:r>
      <w:r>
        <w:rPr>
          <w:i/>
          <w:iCs/>
        </w:rPr>
        <w:t xml:space="preserve"> fotovoltaik</w:t>
      </w:r>
      <w:r w:rsidR="003060EB">
        <w:rPr>
          <w:i/>
          <w:iCs/>
        </w:rPr>
        <w:t xml:space="preserve">u. </w:t>
      </w:r>
      <w:r w:rsidR="007517BE">
        <w:rPr>
          <w:i/>
          <w:iCs/>
        </w:rPr>
        <w:t xml:space="preserve">Těmi disponuje </w:t>
      </w:r>
      <w:r w:rsidR="003060EB">
        <w:rPr>
          <w:i/>
          <w:iCs/>
        </w:rPr>
        <w:t>kupříkladu partnerská firma Enedom,“</w:t>
      </w:r>
      <w:r w:rsidR="007517BE">
        <w:t xml:space="preserve"> pokračuje Petr Motáček.</w:t>
      </w:r>
    </w:p>
    <w:p w14:paraId="5FD5EAD9" w14:textId="77777777" w:rsidR="00A50422" w:rsidRPr="00F65DEE" w:rsidRDefault="00A50422" w:rsidP="00A50422">
      <w:pPr>
        <w:rPr>
          <w:b/>
          <w:bCs/>
        </w:rPr>
      </w:pPr>
      <w:r w:rsidRPr="00F65DEE">
        <w:rPr>
          <w:b/>
          <w:bCs/>
        </w:rPr>
        <w:t>Kolik může žadatel dostat?</w:t>
      </w:r>
    </w:p>
    <w:p w14:paraId="61F2E307" w14:textId="77777777" w:rsidR="00F46C72" w:rsidRDefault="00035827" w:rsidP="00A50422">
      <w:r>
        <w:t>Při správném podání žádosti lze n</w:t>
      </w:r>
      <w:r w:rsidR="00A50422" w:rsidRPr="00F65DEE">
        <w:t>a optimální zateplení získat až jeden milion korun, a to dokonce zálohově předem. Další finanční prostředky jsou pak připraveny na podporu ostatních úsporných opatření, včetně rodinného bonusu 50 tisíc Kč na každé nezaopatřené dítě, takže celkově může dotace pokrýt až polovinu výdajů.</w:t>
      </w:r>
    </w:p>
    <w:p w14:paraId="13C36A3A" w14:textId="79356D48" w:rsidR="0037171D" w:rsidRDefault="00A50422" w:rsidP="00A50422">
      <w:r w:rsidRPr="00F65DEE">
        <w:t>Kdo někdy stavěl, nebo spíš rekonstruoval, tak ví, že starší dům skýtá při opravě řadu nečekaných, většinou nepříjemných a dost nákladných překvapení. Proto program Oprav dům po babičce doplňují od letošního roku garantované úvěry</w:t>
      </w:r>
      <w:r w:rsidR="0037171D">
        <w:t xml:space="preserve">, </w:t>
      </w:r>
      <w:r w:rsidR="0037171D" w:rsidRPr="0037171D">
        <w:t>které budou poskytovat stavební spořitelny. Úroková sazba byla v současné době za</w:t>
      </w:r>
      <w:r w:rsidR="0037171D">
        <w:t>stropována</w:t>
      </w:r>
      <w:r w:rsidR="0037171D" w:rsidRPr="0037171D">
        <w:t xml:space="preserve"> na 3,5 % a splatnost může být až 25 let. V reakci na pokles úrokových sazeb ze strany ČNB se může tato sazba ještě snížit.</w:t>
      </w:r>
    </w:p>
    <w:p w14:paraId="7C4001D3" w14:textId="77777777" w:rsidR="000130A7" w:rsidRDefault="000130A7" w:rsidP="00A50422">
      <w:r w:rsidRPr="000130A7">
        <w:rPr>
          <w:i/>
          <w:iCs/>
        </w:rPr>
        <w:t>„</w:t>
      </w:r>
      <w:r w:rsidR="0037171D" w:rsidRPr="000130A7">
        <w:rPr>
          <w:i/>
          <w:iCs/>
        </w:rPr>
        <w:t>Jako první na to zareagovala Raiffeisen stavební spořitelna, která nabízí úrokovou sazbu 3,45 % s pětiletou fixací a splatností 20 let. Hned po ní zveřejnila nabídku Modrá pyramida, která jde na trh se sazbou 3,19 % s fixací až do splatnosti úvěru, tj. až 25 let. Během pár dní by se měly připojit i ostatní stavební spořitelny</w:t>
      </w:r>
      <w:r w:rsidRPr="000130A7">
        <w:rPr>
          <w:i/>
          <w:iCs/>
        </w:rPr>
        <w:t>,“</w:t>
      </w:r>
      <w:r>
        <w:t xml:space="preserve"> uvádí Petr Motáček.</w:t>
      </w:r>
    </w:p>
    <w:p w14:paraId="13DF3728" w14:textId="340A54C0" w:rsidR="00A50422" w:rsidRPr="0037171D" w:rsidRDefault="0037171D" w:rsidP="00A50422">
      <w:r w:rsidRPr="0037171D">
        <w:t xml:space="preserve">Tyto úvěry s dotačním poradenstvím </w:t>
      </w:r>
      <w:r w:rsidR="000130A7">
        <w:t>mají za</w:t>
      </w:r>
      <w:r w:rsidRPr="0037171D">
        <w:t xml:space="preserve"> cíl urychlit tempo renovací, snížit energetickou náročnost budov, podpořit využití stávajícího bytového fondu a zvýšit dostupnost kvalitního a úsporného bydlení pro širokou veřejnost</w:t>
      </w:r>
      <w:r w:rsidR="000130A7">
        <w:t>. Klienti si je</w:t>
      </w:r>
      <w:r w:rsidRPr="0037171D">
        <w:t xml:space="preserve"> mohou sjednat jak na pobočkách stavebních spořitelen, tak i v široké síti finančně poradenských společností. Jednou z</w:t>
      </w:r>
      <w:r w:rsidR="000130A7">
        <w:t> </w:t>
      </w:r>
      <w:r w:rsidRPr="0037171D">
        <w:t>nich</w:t>
      </w:r>
      <w:r w:rsidR="000130A7">
        <w:t xml:space="preserve"> je </w:t>
      </w:r>
      <w:hyperlink r:id="rId12" w:history="1">
        <w:r w:rsidR="000130A7" w:rsidRPr="001842E5">
          <w:rPr>
            <w:rStyle w:val="Hypertextovodkaz"/>
            <w:color w:val="C45911" w:themeColor="accent2" w:themeShade="BF"/>
          </w:rPr>
          <w:t>FinGO</w:t>
        </w:r>
      </w:hyperlink>
      <w:r w:rsidRPr="0037171D">
        <w:t>, kter</w:t>
      </w:r>
      <w:r w:rsidR="000130A7">
        <w:t>é</w:t>
      </w:r>
      <w:r w:rsidRPr="0037171D">
        <w:t xml:space="preserve"> se na </w:t>
      </w:r>
      <w:r w:rsidR="001842E5">
        <w:t>tuto oblast</w:t>
      </w:r>
      <w:r w:rsidR="000130A7">
        <w:t xml:space="preserve"> přímo</w:t>
      </w:r>
      <w:r w:rsidRPr="0037171D">
        <w:t xml:space="preserve"> specializuje</w:t>
      </w:r>
      <w:r w:rsidR="000130A7">
        <w:t>.</w:t>
      </w:r>
    </w:p>
    <w:p w14:paraId="690F6E1F" w14:textId="6FCB96E8" w:rsidR="00A50422" w:rsidRPr="00B120F4" w:rsidRDefault="00DE551F" w:rsidP="00A50422">
      <w:pPr>
        <w:rPr>
          <w:i/>
          <w:iCs/>
        </w:rPr>
      </w:pPr>
      <w:r w:rsidRPr="00DE551F">
        <w:t>A jak</w:t>
      </w:r>
      <w:r>
        <w:t>é</w:t>
      </w:r>
      <w:r w:rsidRPr="00DE551F">
        <w:t xml:space="preserve"> </w:t>
      </w:r>
      <w:r>
        <w:t>jsou</w:t>
      </w:r>
      <w:r w:rsidRPr="00DE551F">
        <w:t xml:space="preserve"> úrokov</w:t>
      </w:r>
      <w:r>
        <w:t>é</w:t>
      </w:r>
      <w:r w:rsidRPr="00DE551F">
        <w:t xml:space="preserve"> sazb</w:t>
      </w:r>
      <w:r>
        <w:t>y dalších</w:t>
      </w:r>
      <w:r w:rsidRPr="00DE551F">
        <w:t xml:space="preserve"> úvěrov</w:t>
      </w:r>
      <w:r>
        <w:t>ých</w:t>
      </w:r>
      <w:r w:rsidRPr="00DE551F">
        <w:t xml:space="preserve"> produkt</w:t>
      </w:r>
      <w:r>
        <w:t>ů, které jsou taktéž</w:t>
      </w:r>
      <w:r w:rsidRPr="00DE551F">
        <w:t xml:space="preserve"> zaměřené na </w:t>
      </w:r>
      <w:r>
        <w:t>udržitelné stavby a renovace</w:t>
      </w:r>
      <w:r w:rsidRPr="00DE551F">
        <w:t>?</w:t>
      </w:r>
      <w:r w:rsidRPr="00DE551F">
        <w:rPr>
          <w:i/>
          <w:iCs/>
        </w:rPr>
        <w:t xml:space="preserve"> </w:t>
      </w:r>
      <w:r w:rsidR="00A50422" w:rsidRPr="003E455A">
        <w:rPr>
          <w:i/>
          <w:iCs/>
        </w:rPr>
        <w:t>„Některé banky již dnes nabízejí úvěry na udržitelné bydlení s garantovanou výší úroku po celou dobu jeho splácení, ostatní se postupně přidávají, nebo to mají v</w:t>
      </w:r>
      <w:r w:rsidR="00B120F4">
        <w:rPr>
          <w:i/>
          <w:iCs/>
        </w:rPr>
        <w:t> </w:t>
      </w:r>
      <w:r w:rsidR="00A50422" w:rsidRPr="003E455A">
        <w:rPr>
          <w:i/>
          <w:iCs/>
        </w:rPr>
        <w:t>plánu</w:t>
      </w:r>
      <w:r w:rsidR="00B120F4">
        <w:rPr>
          <w:i/>
          <w:iCs/>
        </w:rPr>
        <w:t xml:space="preserve">. Naši poradci </w:t>
      </w:r>
      <w:r w:rsidR="00046406">
        <w:rPr>
          <w:i/>
          <w:iCs/>
        </w:rPr>
        <w:t xml:space="preserve">monitorují </w:t>
      </w:r>
      <w:r w:rsidR="00B120F4">
        <w:rPr>
          <w:i/>
          <w:iCs/>
        </w:rPr>
        <w:t>všechny změny na trhu a zákazníkům nacház</w:t>
      </w:r>
      <w:r w:rsidR="004C50E4">
        <w:rPr>
          <w:i/>
          <w:iCs/>
        </w:rPr>
        <w:t>ejí</w:t>
      </w:r>
      <w:r w:rsidR="00B120F4">
        <w:rPr>
          <w:i/>
          <w:iCs/>
        </w:rPr>
        <w:t xml:space="preserve"> optimální řešení právě pro ně</w:t>
      </w:r>
      <w:r w:rsidR="00A50422" w:rsidRPr="003E455A">
        <w:rPr>
          <w:i/>
          <w:iCs/>
        </w:rPr>
        <w:t>,“</w:t>
      </w:r>
      <w:r w:rsidR="00A50422">
        <w:t xml:space="preserve"> dodává</w:t>
      </w:r>
      <w:r w:rsidR="00A50422" w:rsidRPr="00F65DEE">
        <w:t xml:space="preserve"> </w:t>
      </w:r>
      <w:r w:rsidR="00A50422">
        <w:t>Petr Motáček</w:t>
      </w:r>
      <w:r w:rsidR="00B120F4">
        <w:t>.</w:t>
      </w:r>
    </w:p>
    <w:p w14:paraId="10007EB2" w14:textId="7F9048D3" w:rsidR="00A50422" w:rsidRDefault="00A50422" w:rsidP="00A50422">
      <w:r>
        <w:t xml:space="preserve">Například </w:t>
      </w:r>
      <w:hyperlink r:id="rId13" w:history="1">
        <w:r w:rsidRPr="00D81965">
          <w:rPr>
            <w:rStyle w:val="Hypertextovodkaz"/>
            <w:color w:val="C45911" w:themeColor="accent2" w:themeShade="BF"/>
          </w:rPr>
          <w:t>ČSOB</w:t>
        </w:r>
      </w:hyperlink>
      <w:r>
        <w:t xml:space="preserve"> nabízí speciální produkt až na 12 let k financování úsporných technologií, včetně fotovoltaiky, s garantovaným úrokem 6,8 % p. a., takže například za milionový úvěr s 10letou splatností zaplatí klient 11 508 Kč měsíčně. Jeho maximální výše je 1,5 milionu korun a až pětinu z této částky můžete použít na cokoliv</w:t>
      </w:r>
      <w:r w:rsidR="00387642">
        <w:t>, maximálně však 60 000 korun.</w:t>
      </w:r>
    </w:p>
    <w:p w14:paraId="7E09278F" w14:textId="458415EE" w:rsidR="00A50422" w:rsidRDefault="00A50422" w:rsidP="00A50422">
      <w:r>
        <w:t xml:space="preserve">Také </w:t>
      </w:r>
      <w:hyperlink r:id="rId14" w:history="1">
        <w:r w:rsidRPr="00D81965">
          <w:rPr>
            <w:rStyle w:val="Hypertextovodkaz"/>
            <w:color w:val="C45911" w:themeColor="accent2" w:themeShade="BF"/>
          </w:rPr>
          <w:t>Komerční banka</w:t>
        </w:r>
      </w:hyperlink>
      <w:r>
        <w:t xml:space="preserve"> </w:t>
      </w:r>
      <w:r w:rsidR="00F662C3">
        <w:t xml:space="preserve">ve spolupráci s Modrou pyramidou </w:t>
      </w:r>
      <w:r>
        <w:t xml:space="preserve">má ve své nabídce půjčku na udržitelné technologie s garantovaným úrokem 5,99 % bez zajištění nemovitostí. </w:t>
      </w:r>
      <w:r w:rsidR="00F662C3">
        <w:t>Splátky lze rozložit až do 25</w:t>
      </w:r>
      <w:r>
        <w:t xml:space="preserve"> let a půjčit si </w:t>
      </w:r>
      <w:r w:rsidR="00E40B7D">
        <w:t xml:space="preserve">stavebník </w:t>
      </w:r>
      <w:r>
        <w:t xml:space="preserve">může až do 2,5 milionu Kč. </w:t>
      </w:r>
    </w:p>
    <w:p w14:paraId="403FA24B" w14:textId="7999CA63" w:rsidR="00A50422" w:rsidRDefault="00000000" w:rsidP="00A50422">
      <w:hyperlink r:id="rId15" w:history="1">
        <w:r w:rsidR="00A50422" w:rsidRPr="00D81965">
          <w:rPr>
            <w:rStyle w:val="Hypertextovodkaz"/>
            <w:color w:val="C45911" w:themeColor="accent2" w:themeShade="BF"/>
          </w:rPr>
          <w:t>Moneta Money Bank</w:t>
        </w:r>
      </w:hyperlink>
      <w:r w:rsidR="00A50422">
        <w:t xml:space="preserve"> připravila speciální Solární Expres půjčku také ke snížení ekonomické náročnosti objektu, jejíž garantovaný úrok je 6,49 </w:t>
      </w:r>
      <w:r w:rsidR="00DC73BB">
        <w:t>%</w:t>
      </w:r>
      <w:r w:rsidR="00A50422">
        <w:t>. Splatnost je desetiletá a maximálně je možné půjčit si 1,5 milionu korun.</w:t>
      </w:r>
    </w:p>
    <w:p w14:paraId="592AF859" w14:textId="200F5110" w:rsidR="00C2341A" w:rsidRDefault="00000000" w:rsidP="00A50422">
      <w:hyperlink r:id="rId16" w:history="1">
        <w:r w:rsidR="00C2341A" w:rsidRPr="00D81965">
          <w:rPr>
            <w:rStyle w:val="Hypertextovodkaz"/>
            <w:color w:val="C45911" w:themeColor="accent2" w:themeShade="BF"/>
          </w:rPr>
          <w:t>UniCredit Bank</w:t>
        </w:r>
      </w:hyperlink>
      <w:r w:rsidR="00C2341A" w:rsidRPr="00C2341A">
        <w:t xml:space="preserve"> se také specializuje na energetickou úsporu. </w:t>
      </w:r>
      <w:r w:rsidR="006F50FA">
        <w:t>V</w:t>
      </w:r>
      <w:r w:rsidR="006F50FA" w:rsidRPr="00C2341A">
        <w:t xml:space="preserve"> rámci projektů Green Energy </w:t>
      </w:r>
      <w:r w:rsidR="006F50FA">
        <w:t>k tomu v</w:t>
      </w:r>
      <w:r w:rsidR="00C2341A" w:rsidRPr="00C2341A">
        <w:t>ytvořila</w:t>
      </w:r>
      <w:r w:rsidR="006F50FA">
        <w:t xml:space="preserve"> </w:t>
      </w:r>
      <w:r w:rsidR="00C2341A" w:rsidRPr="00C2341A">
        <w:t xml:space="preserve">speciální půjčku se splatností až 180 měsíců. Maximálně je možné </w:t>
      </w:r>
      <w:r w:rsidR="006F50FA">
        <w:t xml:space="preserve">si </w:t>
      </w:r>
      <w:r w:rsidR="00C2341A" w:rsidRPr="00C2341A">
        <w:t>půjčit 1</w:t>
      </w:r>
      <w:r w:rsidR="006F50FA">
        <w:t> </w:t>
      </w:r>
      <w:r w:rsidR="00C2341A" w:rsidRPr="00C2341A">
        <w:t>250</w:t>
      </w:r>
      <w:r w:rsidR="006F50FA">
        <w:t xml:space="preserve"> </w:t>
      </w:r>
      <w:r w:rsidR="00C2341A" w:rsidRPr="00C2341A">
        <w:t>000 Kč a úrokovou sazbu lze získat od 6,29 %.</w:t>
      </w:r>
    </w:p>
    <w:p w14:paraId="66655084" w14:textId="1F0A035B" w:rsidR="00F46C72" w:rsidRDefault="00A50422" w:rsidP="00A50422">
      <w:r>
        <w:t>Udržitelné bydlení není jen módním trendem, je to závazek k ochraně životního prostředí i příštím generacím. Takže pokud plánujete investovat do budoucnosti svého domova, prozkoumejte všechny možnosti a vyberte pro váš projekt tu nejvýhodnější kombinaci financování.</w:t>
      </w:r>
    </w:p>
    <w:p w14:paraId="7B8AA5C5" w14:textId="77777777" w:rsidR="00DB13BD" w:rsidRDefault="00DB13BD" w:rsidP="00C00401"/>
    <w:p w14:paraId="57CEC546" w14:textId="438C61A4" w:rsidR="00712072" w:rsidRPr="00F46C72" w:rsidRDefault="00712072" w:rsidP="00C00401">
      <w:pPr>
        <w:rPr>
          <w:rFonts w:cs="Open Sans"/>
        </w:rPr>
      </w:pPr>
      <w:r w:rsidRPr="0085622D">
        <w:rPr>
          <w:rFonts w:cs="Open Sans"/>
          <w:i/>
          <w:iCs/>
          <w:sz w:val="20"/>
          <w:szCs w:val="20"/>
        </w:rPr>
        <w:t>O společnosti FinGO:</w:t>
      </w:r>
    </w:p>
    <w:p w14:paraId="3272E8CB" w14:textId="77777777" w:rsidR="00712072" w:rsidRPr="0085622D" w:rsidRDefault="00712072" w:rsidP="00C00401">
      <w:pPr>
        <w:rPr>
          <w:rFonts w:cs="Open Sans"/>
          <w:i/>
          <w:iCs/>
          <w:sz w:val="20"/>
          <w:szCs w:val="20"/>
        </w:rPr>
      </w:pPr>
      <w:r w:rsidRPr="0085622D">
        <w:rPr>
          <w:rFonts w:cs="Open Sans"/>
          <w:i/>
          <w:iCs/>
          <w:sz w:val="20"/>
          <w:szCs w:val="20"/>
        </w:rPr>
        <w:t>Digitální finančně-poradenská společnost FinGO.cz začala v České republice působit v roce 2021 s cílem přinést makléřům i klientům pohodlí, férovost a díky digitálním technologiím také příležitost, jak oslovit nové klienty. V současnosti má společnost přes 580 vázaných zástupců, kteří působí po celé České republice. V roce 2022 patřila k nejrychleji rostoucím makléřským společnostem, přičemž v oblasti úvěrů rostla nejrychleji ze všech.  Významný podíl produkce FinGO.cz pochází z online příležitostí, které společnost sama vytváří pro své vázané zástupce.</w:t>
      </w:r>
    </w:p>
    <w:p w14:paraId="6FEFC148" w14:textId="0398877F" w:rsidR="0096059C" w:rsidRPr="0085622D" w:rsidRDefault="00640C88" w:rsidP="00C00401">
      <w:pPr>
        <w:rPr>
          <w:rFonts w:cs="Open Sans"/>
          <w:i/>
          <w:iCs/>
          <w:sz w:val="20"/>
          <w:szCs w:val="20"/>
        </w:rPr>
      </w:pPr>
      <w:r w:rsidRPr="0085622D">
        <w:rPr>
          <w:rFonts w:cs="Open Sans"/>
          <w:noProof/>
        </w:rPr>
        <w:drawing>
          <wp:anchor distT="0" distB="0" distL="114300" distR="114300" simplePos="0" relativeHeight="251665408" behindDoc="0" locked="0" layoutInCell="1" allowOverlap="1" wp14:anchorId="5942909A" wp14:editId="541BB038">
            <wp:simplePos x="0" y="0"/>
            <wp:positionH relativeFrom="margin">
              <wp:posOffset>5693410</wp:posOffset>
            </wp:positionH>
            <wp:positionV relativeFrom="paragraph">
              <wp:posOffset>1660525</wp:posOffset>
            </wp:positionV>
            <wp:extent cx="572135" cy="431800"/>
            <wp:effectExtent l="0" t="0" r="0" b="6350"/>
            <wp:wrapSquare wrapText="bothSides"/>
            <wp:docPr id="1430303569" name="Obrázek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03569" name="Obrázek 4">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572135"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63360" behindDoc="0" locked="0" layoutInCell="1" allowOverlap="1" wp14:anchorId="53045D19" wp14:editId="2E564BD3">
            <wp:simplePos x="0" y="0"/>
            <wp:positionH relativeFrom="column">
              <wp:posOffset>5053330</wp:posOffset>
            </wp:positionH>
            <wp:positionV relativeFrom="paragraph">
              <wp:posOffset>1660525</wp:posOffset>
            </wp:positionV>
            <wp:extent cx="467995" cy="431800"/>
            <wp:effectExtent l="0" t="0" r="8255" b="6350"/>
            <wp:wrapSquare wrapText="bothSides"/>
            <wp:docPr id="415049230" name="Obrázek 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49230" name="Obrázek 5">
                      <a:hlinkClick r:id="rId19"/>
                    </pic:cNvPr>
                    <pic:cNvPicPr/>
                  </pic:nvPicPr>
                  <pic:blipFill>
                    <a:blip r:embed="rId20">
                      <a:extLst>
                        <a:ext uri="{28A0092B-C50C-407E-A947-70E740481C1C}">
                          <a14:useLocalDpi xmlns:a14="http://schemas.microsoft.com/office/drawing/2010/main" val="0"/>
                        </a:ext>
                      </a:extLst>
                    </a:blip>
                    <a:stretch>
                      <a:fillRect/>
                    </a:stretch>
                  </pic:blipFill>
                  <pic:spPr>
                    <a:xfrm>
                      <a:off x="0" y="0"/>
                      <a:ext cx="467995"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61312" behindDoc="0" locked="0" layoutInCell="1" allowOverlap="1" wp14:anchorId="334490BB" wp14:editId="29A2D813">
            <wp:simplePos x="0" y="0"/>
            <wp:positionH relativeFrom="margin">
              <wp:posOffset>4265930</wp:posOffset>
            </wp:positionH>
            <wp:positionV relativeFrom="paragraph">
              <wp:posOffset>1655445</wp:posOffset>
            </wp:positionV>
            <wp:extent cx="845820" cy="431800"/>
            <wp:effectExtent l="0" t="0" r="0" b="6350"/>
            <wp:wrapSquare wrapText="bothSides"/>
            <wp:docPr id="1399757103" name="Obrázek 6">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57103" name="Obrázek 6">
                      <a:hlinkClick r:id="rId21"/>
                    </pic:cNvPr>
                    <pic:cNvPicPr/>
                  </pic:nvPicPr>
                  <pic:blipFill>
                    <a:blip r:embed="rId22">
                      <a:extLst>
                        <a:ext uri="{28A0092B-C50C-407E-A947-70E740481C1C}">
                          <a14:useLocalDpi xmlns:a14="http://schemas.microsoft.com/office/drawing/2010/main" val="0"/>
                        </a:ext>
                      </a:extLst>
                    </a:blip>
                    <a:stretch>
                      <a:fillRect/>
                    </a:stretch>
                  </pic:blipFill>
                  <pic:spPr>
                    <a:xfrm>
                      <a:off x="0" y="0"/>
                      <a:ext cx="845820"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59264" behindDoc="0" locked="0" layoutInCell="1" allowOverlap="1" wp14:anchorId="5BD6DE5E" wp14:editId="24EA21E6">
            <wp:simplePos x="0" y="0"/>
            <wp:positionH relativeFrom="margin">
              <wp:posOffset>3815080</wp:posOffset>
            </wp:positionH>
            <wp:positionV relativeFrom="paragraph">
              <wp:posOffset>1655445</wp:posOffset>
            </wp:positionV>
            <wp:extent cx="460375" cy="431800"/>
            <wp:effectExtent l="0" t="0" r="0" b="6350"/>
            <wp:wrapSquare wrapText="bothSides"/>
            <wp:docPr id="2096601148" name="Obrázek 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01148" name="Obrázek 7">
                      <a:hlinkClick r:id="rId23"/>
                    </pic:cNvPr>
                    <pic:cNvPicPr/>
                  </pic:nvPicPr>
                  <pic:blipFill>
                    <a:blip r:embed="rId24">
                      <a:extLst>
                        <a:ext uri="{28A0092B-C50C-407E-A947-70E740481C1C}">
                          <a14:useLocalDpi xmlns:a14="http://schemas.microsoft.com/office/drawing/2010/main" val="0"/>
                        </a:ext>
                      </a:extLst>
                    </a:blip>
                    <a:stretch>
                      <a:fillRect/>
                    </a:stretch>
                  </pic:blipFill>
                  <pic:spPr>
                    <a:xfrm>
                      <a:off x="0" y="0"/>
                      <a:ext cx="460375" cy="431800"/>
                    </a:xfrm>
                    <a:prstGeom prst="rect">
                      <a:avLst/>
                    </a:prstGeom>
                  </pic:spPr>
                </pic:pic>
              </a:graphicData>
            </a:graphic>
            <wp14:sizeRelH relativeFrom="margin">
              <wp14:pctWidth>0</wp14:pctWidth>
            </wp14:sizeRelH>
            <wp14:sizeRelV relativeFrom="margin">
              <wp14:pctHeight>0</wp14:pctHeight>
            </wp14:sizeRelV>
          </wp:anchor>
        </w:drawing>
      </w:r>
      <w:r w:rsidR="00712072" w:rsidRPr="0085622D">
        <w:rPr>
          <w:rFonts w:cs="Open Sans"/>
          <w:i/>
          <w:iCs/>
          <w:sz w:val="20"/>
          <w:szCs w:val="20"/>
        </w:rPr>
        <w:t>Společnost FinGO je součástí lokální investiční skupiny InTeFi Capital podnikatele a investora Lukáše Nováka. Skupina vlastní a řídí české a slovenské společnosti z oblastí informačních technologií, financí, a real estate developmentu. Podíl vlastní například v technologické skupině BiQ Group, která vytváří komplexní a udržitelné IT projekty s budoucností. Společnost FinGO.sk byla založena před pěti lety a stala se jednou z nejrychleji rostoucích společností ve svém oboru na Slovensku. Více než 1100 odborníků působí ve všech 79 okresech Slovenska a stará se o téměř 110 000 spokojených klientů.</w:t>
      </w:r>
    </w:p>
    <w:sectPr w:rsidR="0096059C" w:rsidRPr="0085622D">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B246E" w14:textId="77777777" w:rsidR="0065529F" w:rsidRDefault="0065529F" w:rsidP="00C00401">
      <w:r>
        <w:separator/>
      </w:r>
    </w:p>
  </w:endnote>
  <w:endnote w:type="continuationSeparator" w:id="0">
    <w:p w14:paraId="318830C1" w14:textId="77777777" w:rsidR="0065529F" w:rsidRDefault="0065529F" w:rsidP="00C0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E791658" w14:paraId="7B7E4F7F" w14:textId="77777777" w:rsidTr="7E791658">
      <w:trPr>
        <w:trHeight w:val="300"/>
      </w:trPr>
      <w:tc>
        <w:tcPr>
          <w:tcW w:w="3020" w:type="dxa"/>
        </w:tcPr>
        <w:p w14:paraId="15343DB0" w14:textId="77777777" w:rsidR="7E791658" w:rsidRDefault="7E791658" w:rsidP="00C00401">
          <w:pPr>
            <w:pStyle w:val="Zhlav"/>
          </w:pPr>
        </w:p>
      </w:tc>
      <w:tc>
        <w:tcPr>
          <w:tcW w:w="3020" w:type="dxa"/>
        </w:tcPr>
        <w:p w14:paraId="102F4D46" w14:textId="77777777" w:rsidR="7E791658" w:rsidRDefault="7E791658" w:rsidP="00C00401">
          <w:pPr>
            <w:pStyle w:val="Zhlav"/>
          </w:pPr>
        </w:p>
      </w:tc>
      <w:tc>
        <w:tcPr>
          <w:tcW w:w="3020" w:type="dxa"/>
        </w:tcPr>
        <w:p w14:paraId="01B44316" w14:textId="77777777" w:rsidR="7E791658" w:rsidRDefault="7E791658" w:rsidP="00C00401">
          <w:pPr>
            <w:pStyle w:val="Zhlav"/>
          </w:pPr>
        </w:p>
      </w:tc>
    </w:tr>
  </w:tbl>
  <w:p w14:paraId="37BCB74C" w14:textId="77777777" w:rsidR="7E791658" w:rsidRDefault="7E791658" w:rsidP="00C004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4CC65" w14:textId="77777777" w:rsidR="0065529F" w:rsidRDefault="0065529F" w:rsidP="00C00401">
      <w:r>
        <w:separator/>
      </w:r>
    </w:p>
  </w:footnote>
  <w:footnote w:type="continuationSeparator" w:id="0">
    <w:p w14:paraId="4CBA0C3E" w14:textId="77777777" w:rsidR="0065529F" w:rsidRDefault="0065529F" w:rsidP="00C00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CC11" w14:textId="77777777" w:rsidR="009B404E" w:rsidRPr="00C00401" w:rsidRDefault="009B404E" w:rsidP="00C00401">
    <w:pPr>
      <w:pStyle w:val="Zahlavi"/>
    </w:pPr>
    <w:r w:rsidRPr="00C00401">
      <w:drawing>
        <wp:anchor distT="0" distB="0" distL="114300" distR="114300" simplePos="0" relativeHeight="251658240" behindDoc="0" locked="0" layoutInCell="1" allowOverlap="1" wp14:anchorId="6845EDC8" wp14:editId="5DC0020C">
          <wp:simplePos x="0" y="0"/>
          <wp:positionH relativeFrom="column">
            <wp:posOffset>4310380</wp:posOffset>
          </wp:positionH>
          <wp:positionV relativeFrom="paragraph">
            <wp:posOffset>-325755</wp:posOffset>
          </wp:positionV>
          <wp:extent cx="1895475" cy="768985"/>
          <wp:effectExtent l="0" t="0" r="9525" b="0"/>
          <wp:wrapSquare wrapText="bothSides"/>
          <wp:docPr id="399986389"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6389" name="Grafický objekt 39998638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95475" cy="768985"/>
                  </a:xfrm>
                  <a:prstGeom prst="rect">
                    <a:avLst/>
                  </a:prstGeom>
                </pic:spPr>
              </pic:pic>
            </a:graphicData>
          </a:graphic>
        </wp:anchor>
      </w:drawing>
    </w:r>
  </w:p>
  <w:p w14:paraId="3D056159" w14:textId="77777777" w:rsidR="009B404E" w:rsidRDefault="009B404E" w:rsidP="00C004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7135C"/>
    <w:multiLevelType w:val="hybridMultilevel"/>
    <w:tmpl w:val="88DCF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63438E0"/>
    <w:multiLevelType w:val="multilevel"/>
    <w:tmpl w:val="33581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AC5539"/>
    <w:multiLevelType w:val="multilevel"/>
    <w:tmpl w:val="6A6621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BD040F"/>
    <w:multiLevelType w:val="multilevel"/>
    <w:tmpl w:val="D038A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3E032A"/>
    <w:multiLevelType w:val="multilevel"/>
    <w:tmpl w:val="45FA1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AA0531"/>
    <w:multiLevelType w:val="multilevel"/>
    <w:tmpl w:val="B1A455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321472"/>
    <w:multiLevelType w:val="multilevel"/>
    <w:tmpl w:val="1E2854C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0B305E"/>
    <w:multiLevelType w:val="hybridMultilevel"/>
    <w:tmpl w:val="3AE4BC7C"/>
    <w:lvl w:ilvl="0" w:tplc="8E32B94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72757161">
    <w:abstractNumId w:val="6"/>
  </w:num>
  <w:num w:numId="2" w16cid:durableId="363099003">
    <w:abstractNumId w:val="0"/>
  </w:num>
  <w:num w:numId="3" w16cid:durableId="1533155299">
    <w:abstractNumId w:val="4"/>
  </w:num>
  <w:num w:numId="4" w16cid:durableId="1809980726">
    <w:abstractNumId w:val="5"/>
  </w:num>
  <w:num w:numId="5" w16cid:durableId="1958484008">
    <w:abstractNumId w:val="3"/>
  </w:num>
  <w:num w:numId="6" w16cid:durableId="854686921">
    <w:abstractNumId w:val="1"/>
  </w:num>
  <w:num w:numId="7" w16cid:durableId="1984118866">
    <w:abstractNumId w:val="2"/>
  </w:num>
  <w:num w:numId="8" w16cid:durableId="1281338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96"/>
    <w:rsid w:val="0000021F"/>
    <w:rsid w:val="0000658B"/>
    <w:rsid w:val="000073D8"/>
    <w:rsid w:val="00010B20"/>
    <w:rsid w:val="000130A7"/>
    <w:rsid w:val="000177F2"/>
    <w:rsid w:val="000232BB"/>
    <w:rsid w:val="00027827"/>
    <w:rsid w:val="00032B9B"/>
    <w:rsid w:val="00035827"/>
    <w:rsid w:val="000460C4"/>
    <w:rsid w:val="00046406"/>
    <w:rsid w:val="00052C56"/>
    <w:rsid w:val="00063A45"/>
    <w:rsid w:val="00065953"/>
    <w:rsid w:val="00073C2D"/>
    <w:rsid w:val="000761B4"/>
    <w:rsid w:val="00076806"/>
    <w:rsid w:val="0008245D"/>
    <w:rsid w:val="00083A38"/>
    <w:rsid w:val="00092FF4"/>
    <w:rsid w:val="00094ABB"/>
    <w:rsid w:val="000962CF"/>
    <w:rsid w:val="000970DD"/>
    <w:rsid w:val="000B0146"/>
    <w:rsid w:val="000B6269"/>
    <w:rsid w:val="000D6645"/>
    <w:rsid w:val="000D6D02"/>
    <w:rsid w:val="000E0D1B"/>
    <w:rsid w:val="0010033D"/>
    <w:rsid w:val="00100EF2"/>
    <w:rsid w:val="00114A22"/>
    <w:rsid w:val="00123CBB"/>
    <w:rsid w:val="00136991"/>
    <w:rsid w:val="00141690"/>
    <w:rsid w:val="00145A00"/>
    <w:rsid w:val="00155502"/>
    <w:rsid w:val="00160E3C"/>
    <w:rsid w:val="001653DF"/>
    <w:rsid w:val="001726F3"/>
    <w:rsid w:val="00180E6A"/>
    <w:rsid w:val="001842E5"/>
    <w:rsid w:val="001A0D25"/>
    <w:rsid w:val="001A1D0A"/>
    <w:rsid w:val="001A2107"/>
    <w:rsid w:val="001A21A3"/>
    <w:rsid w:val="001B4EA0"/>
    <w:rsid w:val="001C1F70"/>
    <w:rsid w:val="001D588D"/>
    <w:rsid w:val="001E30CC"/>
    <w:rsid w:val="001E6AB9"/>
    <w:rsid w:val="001E7717"/>
    <w:rsid w:val="002049BE"/>
    <w:rsid w:val="00204ED4"/>
    <w:rsid w:val="00211D63"/>
    <w:rsid w:val="00217E22"/>
    <w:rsid w:val="00222C93"/>
    <w:rsid w:val="00233E02"/>
    <w:rsid w:val="00245AAA"/>
    <w:rsid w:val="00251351"/>
    <w:rsid w:val="00257F3E"/>
    <w:rsid w:val="002639B4"/>
    <w:rsid w:val="00280C2B"/>
    <w:rsid w:val="00284142"/>
    <w:rsid w:val="00287DF5"/>
    <w:rsid w:val="002A1B55"/>
    <w:rsid w:val="002A53DA"/>
    <w:rsid w:val="002A62CB"/>
    <w:rsid w:val="002B70E7"/>
    <w:rsid w:val="002C2E3A"/>
    <w:rsid w:val="002C382A"/>
    <w:rsid w:val="002D21FA"/>
    <w:rsid w:val="002D4EE4"/>
    <w:rsid w:val="002F5FAF"/>
    <w:rsid w:val="003060EB"/>
    <w:rsid w:val="00307DE5"/>
    <w:rsid w:val="00315B04"/>
    <w:rsid w:val="00320C20"/>
    <w:rsid w:val="00330807"/>
    <w:rsid w:val="003319EC"/>
    <w:rsid w:val="00334FAF"/>
    <w:rsid w:val="0035357F"/>
    <w:rsid w:val="0037171D"/>
    <w:rsid w:val="003760BD"/>
    <w:rsid w:val="00376685"/>
    <w:rsid w:val="00380ED4"/>
    <w:rsid w:val="00387642"/>
    <w:rsid w:val="003A04E7"/>
    <w:rsid w:val="003A354B"/>
    <w:rsid w:val="003B238C"/>
    <w:rsid w:val="003B23D1"/>
    <w:rsid w:val="003D58BA"/>
    <w:rsid w:val="003E1DFE"/>
    <w:rsid w:val="003E396C"/>
    <w:rsid w:val="003E5D6E"/>
    <w:rsid w:val="003F20AC"/>
    <w:rsid w:val="00414E7C"/>
    <w:rsid w:val="004173C5"/>
    <w:rsid w:val="00427184"/>
    <w:rsid w:val="00432F8F"/>
    <w:rsid w:val="00435F26"/>
    <w:rsid w:val="00465D61"/>
    <w:rsid w:val="00465E22"/>
    <w:rsid w:val="00466237"/>
    <w:rsid w:val="004665DB"/>
    <w:rsid w:val="004741F4"/>
    <w:rsid w:val="00480D15"/>
    <w:rsid w:val="004866AD"/>
    <w:rsid w:val="004877F4"/>
    <w:rsid w:val="004907BA"/>
    <w:rsid w:val="004A4E19"/>
    <w:rsid w:val="004C50E4"/>
    <w:rsid w:val="004D030F"/>
    <w:rsid w:val="004E41B1"/>
    <w:rsid w:val="005002F0"/>
    <w:rsid w:val="00517194"/>
    <w:rsid w:val="00523422"/>
    <w:rsid w:val="00523961"/>
    <w:rsid w:val="00542979"/>
    <w:rsid w:val="00547331"/>
    <w:rsid w:val="0055794D"/>
    <w:rsid w:val="00567B61"/>
    <w:rsid w:val="005737A5"/>
    <w:rsid w:val="00581AC6"/>
    <w:rsid w:val="00583C0E"/>
    <w:rsid w:val="00585167"/>
    <w:rsid w:val="005936A5"/>
    <w:rsid w:val="005970E4"/>
    <w:rsid w:val="005A3AF4"/>
    <w:rsid w:val="005A4358"/>
    <w:rsid w:val="005B2544"/>
    <w:rsid w:val="005C00E6"/>
    <w:rsid w:val="005C43E7"/>
    <w:rsid w:val="005C5272"/>
    <w:rsid w:val="005D5F6D"/>
    <w:rsid w:val="005E2C7A"/>
    <w:rsid w:val="005E3B20"/>
    <w:rsid w:val="005F5D29"/>
    <w:rsid w:val="00601121"/>
    <w:rsid w:val="00605586"/>
    <w:rsid w:val="00625B6D"/>
    <w:rsid w:val="00633335"/>
    <w:rsid w:val="00640C88"/>
    <w:rsid w:val="0065529F"/>
    <w:rsid w:val="006569AC"/>
    <w:rsid w:val="00671152"/>
    <w:rsid w:val="0068301F"/>
    <w:rsid w:val="00690A80"/>
    <w:rsid w:val="006A1252"/>
    <w:rsid w:val="006A1663"/>
    <w:rsid w:val="006A68AF"/>
    <w:rsid w:val="006A6E08"/>
    <w:rsid w:val="006B3147"/>
    <w:rsid w:val="006B5CF3"/>
    <w:rsid w:val="006C0694"/>
    <w:rsid w:val="006E290E"/>
    <w:rsid w:val="006F1D3A"/>
    <w:rsid w:val="006F2B8E"/>
    <w:rsid w:val="006F50FA"/>
    <w:rsid w:val="006F7EA4"/>
    <w:rsid w:val="00712072"/>
    <w:rsid w:val="00714664"/>
    <w:rsid w:val="0071539D"/>
    <w:rsid w:val="0071584B"/>
    <w:rsid w:val="007211E6"/>
    <w:rsid w:val="0073629A"/>
    <w:rsid w:val="00736FB4"/>
    <w:rsid w:val="00740EB7"/>
    <w:rsid w:val="007447AA"/>
    <w:rsid w:val="00745876"/>
    <w:rsid w:val="007517BE"/>
    <w:rsid w:val="00751C55"/>
    <w:rsid w:val="007570DA"/>
    <w:rsid w:val="0076759E"/>
    <w:rsid w:val="00770401"/>
    <w:rsid w:val="00772295"/>
    <w:rsid w:val="00775798"/>
    <w:rsid w:val="00775DDB"/>
    <w:rsid w:val="007774BA"/>
    <w:rsid w:val="00780CC5"/>
    <w:rsid w:val="00787BE3"/>
    <w:rsid w:val="00792601"/>
    <w:rsid w:val="0079453F"/>
    <w:rsid w:val="00795BB7"/>
    <w:rsid w:val="0079C103"/>
    <w:rsid w:val="007A0EAA"/>
    <w:rsid w:val="007A5EA9"/>
    <w:rsid w:val="007B0B03"/>
    <w:rsid w:val="007D4412"/>
    <w:rsid w:val="007D7647"/>
    <w:rsid w:val="007E2628"/>
    <w:rsid w:val="007F4550"/>
    <w:rsid w:val="00802969"/>
    <w:rsid w:val="00803EB2"/>
    <w:rsid w:val="00807679"/>
    <w:rsid w:val="008118A6"/>
    <w:rsid w:val="008210F1"/>
    <w:rsid w:val="0083675C"/>
    <w:rsid w:val="008435B7"/>
    <w:rsid w:val="008463DB"/>
    <w:rsid w:val="00854D1B"/>
    <w:rsid w:val="0085622D"/>
    <w:rsid w:val="008575AC"/>
    <w:rsid w:val="00863DB8"/>
    <w:rsid w:val="008725ED"/>
    <w:rsid w:val="008769C2"/>
    <w:rsid w:val="00877CD1"/>
    <w:rsid w:val="00893CF1"/>
    <w:rsid w:val="00896196"/>
    <w:rsid w:val="0089657F"/>
    <w:rsid w:val="008A6C2D"/>
    <w:rsid w:val="008B3101"/>
    <w:rsid w:val="008B76D7"/>
    <w:rsid w:val="008C331D"/>
    <w:rsid w:val="008C39EB"/>
    <w:rsid w:val="008D6DA3"/>
    <w:rsid w:val="008E3EA0"/>
    <w:rsid w:val="008E4261"/>
    <w:rsid w:val="008E5E3C"/>
    <w:rsid w:val="008F15FD"/>
    <w:rsid w:val="008F1B78"/>
    <w:rsid w:val="008F4BB2"/>
    <w:rsid w:val="008F7DD5"/>
    <w:rsid w:val="00900CC8"/>
    <w:rsid w:val="00903430"/>
    <w:rsid w:val="00903DAF"/>
    <w:rsid w:val="00907A2C"/>
    <w:rsid w:val="00912EE6"/>
    <w:rsid w:val="009136E9"/>
    <w:rsid w:val="00921DD5"/>
    <w:rsid w:val="00924E12"/>
    <w:rsid w:val="0093300D"/>
    <w:rsid w:val="00934C71"/>
    <w:rsid w:val="00942094"/>
    <w:rsid w:val="009422C4"/>
    <w:rsid w:val="009464F0"/>
    <w:rsid w:val="00951667"/>
    <w:rsid w:val="009563F0"/>
    <w:rsid w:val="0096059C"/>
    <w:rsid w:val="0096146E"/>
    <w:rsid w:val="0096395A"/>
    <w:rsid w:val="009675DB"/>
    <w:rsid w:val="009726B3"/>
    <w:rsid w:val="00977E0B"/>
    <w:rsid w:val="00985B26"/>
    <w:rsid w:val="009868A4"/>
    <w:rsid w:val="00990C10"/>
    <w:rsid w:val="0099159B"/>
    <w:rsid w:val="009943C1"/>
    <w:rsid w:val="009968CC"/>
    <w:rsid w:val="009A6856"/>
    <w:rsid w:val="009B2515"/>
    <w:rsid w:val="009B404E"/>
    <w:rsid w:val="009B6497"/>
    <w:rsid w:val="009C33BB"/>
    <w:rsid w:val="009C582A"/>
    <w:rsid w:val="00A00D0C"/>
    <w:rsid w:val="00A00E29"/>
    <w:rsid w:val="00A025CE"/>
    <w:rsid w:val="00A12266"/>
    <w:rsid w:val="00A25E47"/>
    <w:rsid w:val="00A30F25"/>
    <w:rsid w:val="00A37C88"/>
    <w:rsid w:val="00A40B33"/>
    <w:rsid w:val="00A44B03"/>
    <w:rsid w:val="00A50422"/>
    <w:rsid w:val="00A55C70"/>
    <w:rsid w:val="00A64445"/>
    <w:rsid w:val="00A67316"/>
    <w:rsid w:val="00A704E3"/>
    <w:rsid w:val="00A8163E"/>
    <w:rsid w:val="00A923C5"/>
    <w:rsid w:val="00AA262C"/>
    <w:rsid w:val="00AB0DC6"/>
    <w:rsid w:val="00AB0F6F"/>
    <w:rsid w:val="00AB5CB4"/>
    <w:rsid w:val="00AC7B69"/>
    <w:rsid w:val="00AE66D3"/>
    <w:rsid w:val="00AF1D50"/>
    <w:rsid w:val="00AF69E3"/>
    <w:rsid w:val="00B0017B"/>
    <w:rsid w:val="00B05318"/>
    <w:rsid w:val="00B07FD3"/>
    <w:rsid w:val="00B120F4"/>
    <w:rsid w:val="00B12756"/>
    <w:rsid w:val="00B13DE2"/>
    <w:rsid w:val="00B164B1"/>
    <w:rsid w:val="00B20DE5"/>
    <w:rsid w:val="00B21DC7"/>
    <w:rsid w:val="00B22509"/>
    <w:rsid w:val="00B33F2B"/>
    <w:rsid w:val="00B37005"/>
    <w:rsid w:val="00B417EB"/>
    <w:rsid w:val="00B521F6"/>
    <w:rsid w:val="00B61EF6"/>
    <w:rsid w:val="00B75A21"/>
    <w:rsid w:val="00BA0D1B"/>
    <w:rsid w:val="00BB4CBA"/>
    <w:rsid w:val="00BB7DEE"/>
    <w:rsid w:val="00BC4964"/>
    <w:rsid w:val="00BD0DBD"/>
    <w:rsid w:val="00BE2144"/>
    <w:rsid w:val="00BF008A"/>
    <w:rsid w:val="00BF6153"/>
    <w:rsid w:val="00C00401"/>
    <w:rsid w:val="00C035DC"/>
    <w:rsid w:val="00C10D7B"/>
    <w:rsid w:val="00C164FC"/>
    <w:rsid w:val="00C2341A"/>
    <w:rsid w:val="00C33D9C"/>
    <w:rsid w:val="00C3652F"/>
    <w:rsid w:val="00C37F48"/>
    <w:rsid w:val="00C4358C"/>
    <w:rsid w:val="00C43B7E"/>
    <w:rsid w:val="00C5060F"/>
    <w:rsid w:val="00C51182"/>
    <w:rsid w:val="00C52D76"/>
    <w:rsid w:val="00C6449E"/>
    <w:rsid w:val="00C71AF3"/>
    <w:rsid w:val="00C77369"/>
    <w:rsid w:val="00C8279B"/>
    <w:rsid w:val="00C82F07"/>
    <w:rsid w:val="00C872FA"/>
    <w:rsid w:val="00C93FFF"/>
    <w:rsid w:val="00C97907"/>
    <w:rsid w:val="00CA2DF4"/>
    <w:rsid w:val="00CA679E"/>
    <w:rsid w:val="00CB75B8"/>
    <w:rsid w:val="00CC1AC9"/>
    <w:rsid w:val="00CC49CF"/>
    <w:rsid w:val="00CC4E6E"/>
    <w:rsid w:val="00CD7CB4"/>
    <w:rsid w:val="00CE36CE"/>
    <w:rsid w:val="00CF09EA"/>
    <w:rsid w:val="00CF6706"/>
    <w:rsid w:val="00CF763E"/>
    <w:rsid w:val="00D0331D"/>
    <w:rsid w:val="00D11C64"/>
    <w:rsid w:val="00D20C22"/>
    <w:rsid w:val="00D24664"/>
    <w:rsid w:val="00D250C7"/>
    <w:rsid w:val="00D275E1"/>
    <w:rsid w:val="00D35FAC"/>
    <w:rsid w:val="00D525EB"/>
    <w:rsid w:val="00D54B7E"/>
    <w:rsid w:val="00D6706A"/>
    <w:rsid w:val="00D742F3"/>
    <w:rsid w:val="00D76BFE"/>
    <w:rsid w:val="00D773A8"/>
    <w:rsid w:val="00D81965"/>
    <w:rsid w:val="00D83D75"/>
    <w:rsid w:val="00D86F63"/>
    <w:rsid w:val="00DA3E8C"/>
    <w:rsid w:val="00DA6606"/>
    <w:rsid w:val="00DA6895"/>
    <w:rsid w:val="00DB13BD"/>
    <w:rsid w:val="00DC040C"/>
    <w:rsid w:val="00DC73BB"/>
    <w:rsid w:val="00DD0934"/>
    <w:rsid w:val="00DD14F7"/>
    <w:rsid w:val="00DE551F"/>
    <w:rsid w:val="00DF2E9C"/>
    <w:rsid w:val="00DF5859"/>
    <w:rsid w:val="00E04DD7"/>
    <w:rsid w:val="00E07AB6"/>
    <w:rsid w:val="00E12436"/>
    <w:rsid w:val="00E1263A"/>
    <w:rsid w:val="00E20F7F"/>
    <w:rsid w:val="00E21E20"/>
    <w:rsid w:val="00E3284F"/>
    <w:rsid w:val="00E37871"/>
    <w:rsid w:val="00E37F04"/>
    <w:rsid w:val="00E40B7D"/>
    <w:rsid w:val="00E42C22"/>
    <w:rsid w:val="00E47ADA"/>
    <w:rsid w:val="00E50585"/>
    <w:rsid w:val="00E537B6"/>
    <w:rsid w:val="00E75A42"/>
    <w:rsid w:val="00E77E9F"/>
    <w:rsid w:val="00E90531"/>
    <w:rsid w:val="00E909D0"/>
    <w:rsid w:val="00EA0317"/>
    <w:rsid w:val="00EB106F"/>
    <w:rsid w:val="00EC3B34"/>
    <w:rsid w:val="00ED0B54"/>
    <w:rsid w:val="00ED3218"/>
    <w:rsid w:val="00EE004C"/>
    <w:rsid w:val="00EE60A2"/>
    <w:rsid w:val="00F06373"/>
    <w:rsid w:val="00F13F91"/>
    <w:rsid w:val="00F17089"/>
    <w:rsid w:val="00F17816"/>
    <w:rsid w:val="00F2379E"/>
    <w:rsid w:val="00F3163B"/>
    <w:rsid w:val="00F32CCA"/>
    <w:rsid w:val="00F33647"/>
    <w:rsid w:val="00F37599"/>
    <w:rsid w:val="00F43C57"/>
    <w:rsid w:val="00F44CAB"/>
    <w:rsid w:val="00F46C72"/>
    <w:rsid w:val="00F47D7B"/>
    <w:rsid w:val="00F5087F"/>
    <w:rsid w:val="00F53CB5"/>
    <w:rsid w:val="00F6215F"/>
    <w:rsid w:val="00F643F8"/>
    <w:rsid w:val="00F6444A"/>
    <w:rsid w:val="00F662C3"/>
    <w:rsid w:val="00F67211"/>
    <w:rsid w:val="00F72A42"/>
    <w:rsid w:val="00F72AE4"/>
    <w:rsid w:val="00F74EC2"/>
    <w:rsid w:val="00F76739"/>
    <w:rsid w:val="00F80D60"/>
    <w:rsid w:val="00F91AA2"/>
    <w:rsid w:val="00FB2B67"/>
    <w:rsid w:val="00FD1005"/>
    <w:rsid w:val="00FD3481"/>
    <w:rsid w:val="00FE09F8"/>
    <w:rsid w:val="00FE36EA"/>
    <w:rsid w:val="00FF299D"/>
    <w:rsid w:val="011533B8"/>
    <w:rsid w:val="0292A6C4"/>
    <w:rsid w:val="029DC66C"/>
    <w:rsid w:val="041D961F"/>
    <w:rsid w:val="042E7725"/>
    <w:rsid w:val="19FDC650"/>
    <w:rsid w:val="22632DE7"/>
    <w:rsid w:val="28E7E31B"/>
    <w:rsid w:val="2EE4291B"/>
    <w:rsid w:val="3EEE3085"/>
    <w:rsid w:val="4323EA48"/>
    <w:rsid w:val="4ACD1488"/>
    <w:rsid w:val="4DD12B92"/>
    <w:rsid w:val="5B5408C7"/>
    <w:rsid w:val="68D1F57C"/>
    <w:rsid w:val="6F388BE0"/>
    <w:rsid w:val="74F34B79"/>
    <w:rsid w:val="75A3F786"/>
    <w:rsid w:val="79D34523"/>
    <w:rsid w:val="7E791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CB7AD"/>
  <w15:chartTrackingRefBased/>
  <w15:docId w15:val="{DCD5DF3D-EA73-4310-B694-56C96E98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0401"/>
    <w:pPr>
      <w:jc w:val="both"/>
    </w:pPr>
    <w:rPr>
      <w:rFonts w:ascii="Open Sans" w:hAnsi="Open Sans"/>
    </w:rPr>
  </w:style>
  <w:style w:type="paragraph" w:styleId="Nadpis1">
    <w:name w:val="heading 1"/>
    <w:basedOn w:val="Normln"/>
    <w:next w:val="Normln"/>
    <w:link w:val="Nadpis1Char"/>
    <w:uiPriority w:val="9"/>
    <w:qFormat/>
    <w:rsid w:val="00C00401"/>
    <w:pPr>
      <w:outlineLvl w:val="0"/>
    </w:pPr>
    <w:rPr>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B40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04E"/>
  </w:style>
  <w:style w:type="paragraph" w:styleId="Zpat">
    <w:name w:val="footer"/>
    <w:basedOn w:val="Normln"/>
    <w:link w:val="ZpatChar"/>
    <w:uiPriority w:val="99"/>
    <w:unhideWhenUsed/>
    <w:rsid w:val="009B404E"/>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04E"/>
  </w:style>
  <w:style w:type="character" w:customStyle="1" w:styleId="Nadpis1Char">
    <w:name w:val="Nadpis 1 Char"/>
    <w:basedOn w:val="Standardnpsmoodstavce"/>
    <w:link w:val="Nadpis1"/>
    <w:uiPriority w:val="9"/>
    <w:rsid w:val="00C00401"/>
    <w:rPr>
      <w:rFonts w:ascii="Open Sans" w:hAnsi="Open Sans"/>
      <w:b/>
      <w:bCs/>
      <w:sz w:val="32"/>
      <w:szCs w:val="32"/>
    </w:rPr>
  </w:style>
  <w:style w:type="character" w:styleId="Hypertextovodkaz">
    <w:name w:val="Hyperlink"/>
    <w:basedOn w:val="Standardnpsmoodstavce"/>
    <w:uiPriority w:val="99"/>
    <w:unhideWhenUsed/>
    <w:rsid w:val="00AC7B69"/>
    <w:rPr>
      <w:color w:val="0563C1" w:themeColor="hyperlink"/>
      <w:u w:val="single"/>
    </w:rPr>
  </w:style>
  <w:style w:type="character" w:styleId="Nevyeenzmnka">
    <w:name w:val="Unresolved Mention"/>
    <w:basedOn w:val="Standardnpsmoodstavce"/>
    <w:uiPriority w:val="99"/>
    <w:semiHidden/>
    <w:unhideWhenUsed/>
    <w:rsid w:val="00AC7B69"/>
    <w:rPr>
      <w:color w:val="605E5C"/>
      <w:shd w:val="clear" w:color="auto" w:fill="E1DFDD"/>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lnweb">
    <w:name w:val="Normal (Web)"/>
    <w:basedOn w:val="Normln"/>
    <w:uiPriority w:val="99"/>
    <w:semiHidden/>
    <w:unhideWhenUsed/>
    <w:rsid w:val="00C0040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Perex">
    <w:name w:val="Perex"/>
    <w:basedOn w:val="Normln"/>
    <w:qFormat/>
    <w:rsid w:val="00C00401"/>
    <w:rPr>
      <w:b/>
      <w:bCs/>
    </w:rPr>
  </w:style>
  <w:style w:type="paragraph" w:customStyle="1" w:styleId="Boilerplate">
    <w:name w:val="Boiler plate"/>
    <w:basedOn w:val="Normln"/>
    <w:qFormat/>
    <w:rsid w:val="00C00401"/>
    <w:rPr>
      <w:i/>
      <w:iCs/>
      <w:sz w:val="20"/>
      <w:szCs w:val="20"/>
    </w:rPr>
  </w:style>
  <w:style w:type="paragraph" w:customStyle="1" w:styleId="Zahlavi">
    <w:name w:val="Zahlavi"/>
    <w:basedOn w:val="Zhlav"/>
    <w:qFormat/>
    <w:rsid w:val="00C00401"/>
    <w:rPr>
      <w:noProof/>
      <w:sz w:val="30"/>
      <w:szCs w:val="30"/>
    </w:rPr>
  </w:style>
  <w:style w:type="paragraph" w:customStyle="1" w:styleId="Citace">
    <w:name w:val="Citace"/>
    <w:basedOn w:val="Normln"/>
    <w:qFormat/>
    <w:rsid w:val="001E6AB9"/>
    <w:rPr>
      <w:i/>
      <w:iCs/>
    </w:rPr>
  </w:style>
  <w:style w:type="paragraph" w:styleId="Revize">
    <w:name w:val="Revision"/>
    <w:hidden/>
    <w:uiPriority w:val="99"/>
    <w:semiHidden/>
    <w:rsid w:val="00136991"/>
    <w:pPr>
      <w:spacing w:after="0" w:line="240" w:lineRule="auto"/>
    </w:pPr>
    <w:rPr>
      <w:rFonts w:ascii="Open Sans" w:hAnsi="Open Sans"/>
    </w:rPr>
  </w:style>
  <w:style w:type="character" w:styleId="Odkaznakoment">
    <w:name w:val="annotation reference"/>
    <w:basedOn w:val="Standardnpsmoodstavce"/>
    <w:uiPriority w:val="99"/>
    <w:semiHidden/>
    <w:unhideWhenUsed/>
    <w:rsid w:val="00FB2B67"/>
    <w:rPr>
      <w:sz w:val="16"/>
      <w:szCs w:val="16"/>
    </w:rPr>
  </w:style>
  <w:style w:type="paragraph" w:styleId="Textkomente">
    <w:name w:val="annotation text"/>
    <w:basedOn w:val="Normln"/>
    <w:link w:val="TextkomenteChar"/>
    <w:uiPriority w:val="99"/>
    <w:semiHidden/>
    <w:unhideWhenUsed/>
    <w:rsid w:val="00FB2B67"/>
    <w:pPr>
      <w:spacing w:line="240" w:lineRule="auto"/>
    </w:pPr>
    <w:rPr>
      <w:sz w:val="20"/>
      <w:szCs w:val="20"/>
    </w:rPr>
  </w:style>
  <w:style w:type="character" w:customStyle="1" w:styleId="TextkomenteChar">
    <w:name w:val="Text komentáře Char"/>
    <w:basedOn w:val="Standardnpsmoodstavce"/>
    <w:link w:val="Textkomente"/>
    <w:uiPriority w:val="99"/>
    <w:semiHidden/>
    <w:rsid w:val="00FB2B67"/>
    <w:rPr>
      <w:rFonts w:ascii="Open Sans" w:hAnsi="Open Sans"/>
      <w:sz w:val="20"/>
      <w:szCs w:val="20"/>
    </w:rPr>
  </w:style>
  <w:style w:type="paragraph" w:styleId="Pedmtkomente">
    <w:name w:val="annotation subject"/>
    <w:basedOn w:val="Textkomente"/>
    <w:next w:val="Textkomente"/>
    <w:link w:val="PedmtkomenteChar"/>
    <w:uiPriority w:val="99"/>
    <w:semiHidden/>
    <w:unhideWhenUsed/>
    <w:rsid w:val="00FB2B67"/>
    <w:rPr>
      <w:b/>
      <w:bCs/>
    </w:rPr>
  </w:style>
  <w:style w:type="character" w:customStyle="1" w:styleId="PedmtkomenteChar">
    <w:name w:val="Předmět komentáře Char"/>
    <w:basedOn w:val="TextkomenteChar"/>
    <w:link w:val="Pedmtkomente"/>
    <w:uiPriority w:val="99"/>
    <w:semiHidden/>
    <w:rsid w:val="00FB2B67"/>
    <w:rPr>
      <w:rFonts w:ascii="Open Sans" w:hAnsi="Open Sans"/>
      <w:b/>
      <w:bCs/>
      <w:sz w:val="20"/>
      <w:szCs w:val="20"/>
    </w:rPr>
  </w:style>
  <w:style w:type="character" w:styleId="Zdraznn">
    <w:name w:val="Emphasis"/>
    <w:basedOn w:val="Standardnpsmoodstavce"/>
    <w:uiPriority w:val="20"/>
    <w:qFormat/>
    <w:rsid w:val="00010B20"/>
    <w:rPr>
      <w:i/>
      <w:iCs/>
    </w:rPr>
  </w:style>
  <w:style w:type="paragraph" w:styleId="Odstavecseseznamem">
    <w:name w:val="List Paragraph"/>
    <w:basedOn w:val="Normln"/>
    <w:uiPriority w:val="34"/>
    <w:qFormat/>
    <w:rsid w:val="00C64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5945">
      <w:bodyDiv w:val="1"/>
      <w:marLeft w:val="0"/>
      <w:marRight w:val="0"/>
      <w:marTop w:val="0"/>
      <w:marBottom w:val="0"/>
      <w:divBdr>
        <w:top w:val="none" w:sz="0" w:space="0" w:color="auto"/>
        <w:left w:val="none" w:sz="0" w:space="0" w:color="auto"/>
        <w:bottom w:val="none" w:sz="0" w:space="0" w:color="auto"/>
        <w:right w:val="none" w:sz="0" w:space="0" w:color="auto"/>
      </w:divBdr>
    </w:div>
    <w:div w:id="108864487">
      <w:bodyDiv w:val="1"/>
      <w:marLeft w:val="0"/>
      <w:marRight w:val="0"/>
      <w:marTop w:val="0"/>
      <w:marBottom w:val="0"/>
      <w:divBdr>
        <w:top w:val="none" w:sz="0" w:space="0" w:color="auto"/>
        <w:left w:val="none" w:sz="0" w:space="0" w:color="auto"/>
        <w:bottom w:val="none" w:sz="0" w:space="0" w:color="auto"/>
        <w:right w:val="none" w:sz="0" w:space="0" w:color="auto"/>
      </w:divBdr>
    </w:div>
    <w:div w:id="248462647">
      <w:bodyDiv w:val="1"/>
      <w:marLeft w:val="0"/>
      <w:marRight w:val="0"/>
      <w:marTop w:val="0"/>
      <w:marBottom w:val="0"/>
      <w:divBdr>
        <w:top w:val="none" w:sz="0" w:space="0" w:color="auto"/>
        <w:left w:val="none" w:sz="0" w:space="0" w:color="auto"/>
        <w:bottom w:val="none" w:sz="0" w:space="0" w:color="auto"/>
        <w:right w:val="none" w:sz="0" w:space="0" w:color="auto"/>
      </w:divBdr>
    </w:div>
    <w:div w:id="263999755">
      <w:bodyDiv w:val="1"/>
      <w:marLeft w:val="0"/>
      <w:marRight w:val="0"/>
      <w:marTop w:val="0"/>
      <w:marBottom w:val="0"/>
      <w:divBdr>
        <w:top w:val="none" w:sz="0" w:space="0" w:color="auto"/>
        <w:left w:val="none" w:sz="0" w:space="0" w:color="auto"/>
        <w:bottom w:val="none" w:sz="0" w:space="0" w:color="auto"/>
        <w:right w:val="none" w:sz="0" w:space="0" w:color="auto"/>
      </w:divBdr>
    </w:div>
    <w:div w:id="374736335">
      <w:bodyDiv w:val="1"/>
      <w:marLeft w:val="0"/>
      <w:marRight w:val="0"/>
      <w:marTop w:val="0"/>
      <w:marBottom w:val="0"/>
      <w:divBdr>
        <w:top w:val="none" w:sz="0" w:space="0" w:color="auto"/>
        <w:left w:val="none" w:sz="0" w:space="0" w:color="auto"/>
        <w:bottom w:val="none" w:sz="0" w:space="0" w:color="auto"/>
        <w:right w:val="none" w:sz="0" w:space="0" w:color="auto"/>
      </w:divBdr>
    </w:div>
    <w:div w:id="390349733">
      <w:bodyDiv w:val="1"/>
      <w:marLeft w:val="0"/>
      <w:marRight w:val="0"/>
      <w:marTop w:val="0"/>
      <w:marBottom w:val="0"/>
      <w:divBdr>
        <w:top w:val="none" w:sz="0" w:space="0" w:color="auto"/>
        <w:left w:val="none" w:sz="0" w:space="0" w:color="auto"/>
        <w:bottom w:val="none" w:sz="0" w:space="0" w:color="auto"/>
        <w:right w:val="none" w:sz="0" w:space="0" w:color="auto"/>
      </w:divBdr>
    </w:div>
    <w:div w:id="569577670">
      <w:bodyDiv w:val="1"/>
      <w:marLeft w:val="0"/>
      <w:marRight w:val="0"/>
      <w:marTop w:val="0"/>
      <w:marBottom w:val="0"/>
      <w:divBdr>
        <w:top w:val="none" w:sz="0" w:space="0" w:color="auto"/>
        <w:left w:val="none" w:sz="0" w:space="0" w:color="auto"/>
        <w:bottom w:val="none" w:sz="0" w:space="0" w:color="auto"/>
        <w:right w:val="none" w:sz="0" w:space="0" w:color="auto"/>
      </w:divBdr>
    </w:div>
    <w:div w:id="633099179">
      <w:bodyDiv w:val="1"/>
      <w:marLeft w:val="0"/>
      <w:marRight w:val="0"/>
      <w:marTop w:val="0"/>
      <w:marBottom w:val="0"/>
      <w:divBdr>
        <w:top w:val="none" w:sz="0" w:space="0" w:color="auto"/>
        <w:left w:val="none" w:sz="0" w:space="0" w:color="auto"/>
        <w:bottom w:val="none" w:sz="0" w:space="0" w:color="auto"/>
        <w:right w:val="none" w:sz="0" w:space="0" w:color="auto"/>
      </w:divBdr>
      <w:divsChild>
        <w:div w:id="83234551">
          <w:marLeft w:val="0"/>
          <w:marRight w:val="0"/>
          <w:marTop w:val="0"/>
          <w:marBottom w:val="0"/>
          <w:divBdr>
            <w:top w:val="none" w:sz="0" w:space="0" w:color="auto"/>
            <w:left w:val="none" w:sz="0" w:space="0" w:color="auto"/>
            <w:bottom w:val="none" w:sz="0" w:space="0" w:color="auto"/>
            <w:right w:val="none" w:sz="0" w:space="0" w:color="auto"/>
          </w:divBdr>
        </w:div>
      </w:divsChild>
    </w:div>
    <w:div w:id="657733527">
      <w:bodyDiv w:val="1"/>
      <w:marLeft w:val="0"/>
      <w:marRight w:val="0"/>
      <w:marTop w:val="0"/>
      <w:marBottom w:val="0"/>
      <w:divBdr>
        <w:top w:val="none" w:sz="0" w:space="0" w:color="auto"/>
        <w:left w:val="none" w:sz="0" w:space="0" w:color="auto"/>
        <w:bottom w:val="none" w:sz="0" w:space="0" w:color="auto"/>
        <w:right w:val="none" w:sz="0" w:space="0" w:color="auto"/>
      </w:divBdr>
    </w:div>
    <w:div w:id="797603939">
      <w:bodyDiv w:val="1"/>
      <w:marLeft w:val="0"/>
      <w:marRight w:val="0"/>
      <w:marTop w:val="0"/>
      <w:marBottom w:val="0"/>
      <w:divBdr>
        <w:top w:val="none" w:sz="0" w:space="0" w:color="auto"/>
        <w:left w:val="none" w:sz="0" w:space="0" w:color="auto"/>
        <w:bottom w:val="none" w:sz="0" w:space="0" w:color="auto"/>
        <w:right w:val="none" w:sz="0" w:space="0" w:color="auto"/>
      </w:divBdr>
    </w:div>
    <w:div w:id="806092958">
      <w:bodyDiv w:val="1"/>
      <w:marLeft w:val="0"/>
      <w:marRight w:val="0"/>
      <w:marTop w:val="0"/>
      <w:marBottom w:val="0"/>
      <w:divBdr>
        <w:top w:val="none" w:sz="0" w:space="0" w:color="auto"/>
        <w:left w:val="none" w:sz="0" w:space="0" w:color="auto"/>
        <w:bottom w:val="none" w:sz="0" w:space="0" w:color="auto"/>
        <w:right w:val="none" w:sz="0" w:space="0" w:color="auto"/>
      </w:divBdr>
    </w:div>
    <w:div w:id="962930125">
      <w:bodyDiv w:val="1"/>
      <w:marLeft w:val="0"/>
      <w:marRight w:val="0"/>
      <w:marTop w:val="0"/>
      <w:marBottom w:val="0"/>
      <w:divBdr>
        <w:top w:val="none" w:sz="0" w:space="0" w:color="auto"/>
        <w:left w:val="none" w:sz="0" w:space="0" w:color="auto"/>
        <w:bottom w:val="none" w:sz="0" w:space="0" w:color="auto"/>
        <w:right w:val="none" w:sz="0" w:space="0" w:color="auto"/>
      </w:divBdr>
    </w:div>
    <w:div w:id="1102457672">
      <w:bodyDiv w:val="1"/>
      <w:marLeft w:val="0"/>
      <w:marRight w:val="0"/>
      <w:marTop w:val="0"/>
      <w:marBottom w:val="0"/>
      <w:divBdr>
        <w:top w:val="none" w:sz="0" w:space="0" w:color="auto"/>
        <w:left w:val="none" w:sz="0" w:space="0" w:color="auto"/>
        <w:bottom w:val="none" w:sz="0" w:space="0" w:color="auto"/>
        <w:right w:val="none" w:sz="0" w:space="0" w:color="auto"/>
      </w:divBdr>
    </w:div>
    <w:div w:id="1159691526">
      <w:bodyDiv w:val="1"/>
      <w:marLeft w:val="0"/>
      <w:marRight w:val="0"/>
      <w:marTop w:val="0"/>
      <w:marBottom w:val="0"/>
      <w:divBdr>
        <w:top w:val="none" w:sz="0" w:space="0" w:color="auto"/>
        <w:left w:val="none" w:sz="0" w:space="0" w:color="auto"/>
        <w:bottom w:val="none" w:sz="0" w:space="0" w:color="auto"/>
        <w:right w:val="none" w:sz="0" w:space="0" w:color="auto"/>
      </w:divBdr>
    </w:div>
    <w:div w:id="1225683506">
      <w:bodyDiv w:val="1"/>
      <w:marLeft w:val="0"/>
      <w:marRight w:val="0"/>
      <w:marTop w:val="0"/>
      <w:marBottom w:val="0"/>
      <w:divBdr>
        <w:top w:val="none" w:sz="0" w:space="0" w:color="auto"/>
        <w:left w:val="none" w:sz="0" w:space="0" w:color="auto"/>
        <w:bottom w:val="none" w:sz="0" w:space="0" w:color="auto"/>
        <w:right w:val="none" w:sz="0" w:space="0" w:color="auto"/>
      </w:divBdr>
    </w:div>
    <w:div w:id="1286498252">
      <w:bodyDiv w:val="1"/>
      <w:marLeft w:val="0"/>
      <w:marRight w:val="0"/>
      <w:marTop w:val="0"/>
      <w:marBottom w:val="0"/>
      <w:divBdr>
        <w:top w:val="none" w:sz="0" w:space="0" w:color="auto"/>
        <w:left w:val="none" w:sz="0" w:space="0" w:color="auto"/>
        <w:bottom w:val="none" w:sz="0" w:space="0" w:color="auto"/>
        <w:right w:val="none" w:sz="0" w:space="0" w:color="auto"/>
      </w:divBdr>
    </w:div>
    <w:div w:id="1299650753">
      <w:bodyDiv w:val="1"/>
      <w:marLeft w:val="0"/>
      <w:marRight w:val="0"/>
      <w:marTop w:val="0"/>
      <w:marBottom w:val="0"/>
      <w:divBdr>
        <w:top w:val="none" w:sz="0" w:space="0" w:color="auto"/>
        <w:left w:val="none" w:sz="0" w:space="0" w:color="auto"/>
        <w:bottom w:val="none" w:sz="0" w:space="0" w:color="auto"/>
        <w:right w:val="none" w:sz="0" w:space="0" w:color="auto"/>
      </w:divBdr>
    </w:div>
    <w:div w:id="1433669864">
      <w:bodyDiv w:val="1"/>
      <w:marLeft w:val="0"/>
      <w:marRight w:val="0"/>
      <w:marTop w:val="0"/>
      <w:marBottom w:val="0"/>
      <w:divBdr>
        <w:top w:val="none" w:sz="0" w:space="0" w:color="auto"/>
        <w:left w:val="none" w:sz="0" w:space="0" w:color="auto"/>
        <w:bottom w:val="none" w:sz="0" w:space="0" w:color="auto"/>
        <w:right w:val="none" w:sz="0" w:space="0" w:color="auto"/>
      </w:divBdr>
    </w:div>
    <w:div w:id="1542093751">
      <w:bodyDiv w:val="1"/>
      <w:marLeft w:val="0"/>
      <w:marRight w:val="0"/>
      <w:marTop w:val="0"/>
      <w:marBottom w:val="0"/>
      <w:divBdr>
        <w:top w:val="none" w:sz="0" w:space="0" w:color="auto"/>
        <w:left w:val="none" w:sz="0" w:space="0" w:color="auto"/>
        <w:bottom w:val="none" w:sz="0" w:space="0" w:color="auto"/>
        <w:right w:val="none" w:sz="0" w:space="0" w:color="auto"/>
      </w:divBdr>
    </w:div>
    <w:div w:id="1599095215">
      <w:bodyDiv w:val="1"/>
      <w:marLeft w:val="0"/>
      <w:marRight w:val="0"/>
      <w:marTop w:val="0"/>
      <w:marBottom w:val="0"/>
      <w:divBdr>
        <w:top w:val="none" w:sz="0" w:space="0" w:color="auto"/>
        <w:left w:val="none" w:sz="0" w:space="0" w:color="auto"/>
        <w:bottom w:val="none" w:sz="0" w:space="0" w:color="auto"/>
        <w:right w:val="none" w:sz="0" w:space="0" w:color="auto"/>
      </w:divBdr>
    </w:div>
    <w:div w:id="207146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ob.cz/lide/pujcky/pujcka-na-usporne-bydleni" TargetMode="External"/><Relationship Id="rId18" Type="http://schemas.openxmlformats.org/officeDocument/2006/relationships/image" Target="media/image1.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inkedin.com/company/fingo-cz/" TargetMode="External"/><Relationship Id="rId7" Type="http://schemas.openxmlformats.org/officeDocument/2006/relationships/settings" Target="settings.xml"/><Relationship Id="rId12" Type="http://schemas.openxmlformats.org/officeDocument/2006/relationships/hyperlink" Target="http://www.fingo.cz" TargetMode="External"/><Relationship Id="rId17" Type="http://schemas.openxmlformats.org/officeDocument/2006/relationships/hyperlink" Target="https://www.youtube.com/@fingocz314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nicreditbank.cz/content/dam/cee2020-pws-cz/cz-dokumenty/dokumenty-produkty/obcane/uvery/Produkt_list_PRESTO_na_Bydleni.pdf"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go.cz/" TargetMode="Externa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www.moneta.cz/pujcky-a-uvery/solarni-expres-pujcka" TargetMode="External"/><Relationship Id="rId23" Type="http://schemas.openxmlformats.org/officeDocument/2006/relationships/hyperlink" Target="https://www.facebook.com/fingo.cz"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witter.com/fingo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b.cz/cs/obcane/pujcky/pujcka-na-udrzitelne-bydleni" TargetMode="External"/><Relationship Id="rId22" Type="http://schemas.openxmlformats.org/officeDocument/2006/relationships/image" Target="media/image3.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OneDrive%20-%20Crest%20Communications,%20a.s\Plocha%20(old)\FinGO_Sablon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8775cd-cb9a-4824-a228-d043804fb9c1" xsi:nil="true"/>
    <lcf76f155ced4ddcb4097134ff3c332f xmlns="65777e4e-9c65-48da-b9e4-8e2a74f419cb">
      <Terms xmlns="http://schemas.microsoft.com/office/infopath/2007/PartnerControls"/>
    </lcf76f155ced4ddcb4097134ff3c332f>
    <Obr_x00e1_zek xmlns="65777e4e-9c65-48da-b9e4-8e2a74f419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8" ma:contentTypeDescription="Vytvoří nový dokument" ma:contentTypeScope="" ma:versionID="161e9df844dcf50cd73af27870c190c6">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c3628c2fb9054021a6ad666509f1871f"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Obr_x00e1_ze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br_x00e1_zek" ma:index="25" nillable="true" ma:displayName="Obrázek" ma:format="Thumbnail" ma:internalName="Obr_x00e1_zek">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682881-D906-41BE-9E8E-E6CECCD9DC59}">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customXml/itemProps2.xml><?xml version="1.0" encoding="utf-8"?>
<ds:datastoreItem xmlns:ds="http://schemas.openxmlformats.org/officeDocument/2006/customXml" ds:itemID="{8CB66608-9DD7-4175-9887-E9E474D4D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87C92-30E1-4D02-AC4F-FE070F618B3B}">
  <ds:schemaRefs>
    <ds:schemaRef ds:uri="http://schemas.openxmlformats.org/officeDocument/2006/bibliography"/>
  </ds:schemaRefs>
</ds:datastoreItem>
</file>

<file path=customXml/itemProps4.xml><?xml version="1.0" encoding="utf-8"?>
<ds:datastoreItem xmlns:ds="http://schemas.openxmlformats.org/officeDocument/2006/customXml" ds:itemID="{9E6E8602-1146-4A4E-9988-0A68C2B718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FinGO_Sablona.dotx</Template>
  <TotalTime>9</TotalTime>
  <Pages>3</Pages>
  <Words>1190</Words>
  <Characters>7025</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Knapp</dc:creator>
  <cp:keywords/>
  <dc:description/>
  <cp:lastModifiedBy>Jakub Knapp</cp:lastModifiedBy>
  <cp:revision>7</cp:revision>
  <dcterms:created xsi:type="dcterms:W3CDTF">2024-03-04T09:03:00Z</dcterms:created>
  <dcterms:modified xsi:type="dcterms:W3CDTF">2024-03-04T09:14:00Z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ediaServiceImageTags">
    <vt:lpwstr/>
  </property>
</Properties>
</file>