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88" w:rsidRDefault="00B65FA4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 xml:space="preserve">Invesco: </w:t>
      </w:r>
      <w:r w:rsidR="00B41391">
        <w:rPr>
          <w:rFonts w:ascii="Invesco Interstate Bold" w:hAnsi="Invesco Interstate Bold"/>
          <w:b/>
          <w:bCs/>
          <w:sz w:val="28"/>
          <w:szCs w:val="28"/>
        </w:rPr>
        <w:t>Mohl by Fed snížit úrokové sazby v roce 2024 dvakrát?</w:t>
      </w:r>
    </w:p>
    <w:p w:rsidR="001F6A31" w:rsidRPr="00F26CC7" w:rsidRDefault="001F6A31" w:rsidP="00916408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i/>
          <w:sz w:val="22"/>
          <w:szCs w:val="22"/>
        </w:rPr>
      </w:pP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Komentář Kristiny Hooper, vedoucí straté</w:t>
      </w:r>
      <w:r w:rsidR="00452739" w:rsidRPr="00F26CC7">
        <w:rPr>
          <w:rFonts w:ascii="Invesco Interstate Light" w:eastAsiaTheme="minorEastAsia" w:hAnsi="Invesco Interstate Light"/>
          <w:i/>
          <w:sz w:val="22"/>
          <w:szCs w:val="22"/>
        </w:rPr>
        <w:t>žky</w:t>
      </w:r>
      <w:r w:rsidR="00106C3B"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pro globální trhy, Invesco Ltd.</w:t>
      </w:r>
      <w:r w:rsidR="00106C3B"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</w:p>
    <w:p w:rsidR="00083997" w:rsidRPr="00F26CC7" w:rsidRDefault="00B41391" w:rsidP="00F26CC7">
      <w:pPr>
        <w:spacing w:line="36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F26CC7">
        <w:rPr>
          <w:rFonts w:ascii="Invesco Interstate Bold" w:hAnsi="Invesco Interstate Bold"/>
          <w:b/>
          <w:bCs/>
          <w:sz w:val="24"/>
          <w:szCs w:val="24"/>
        </w:rPr>
        <w:t>Minulý týden byla zveřejněna další data, která naznačují větší pokrok v dezinflaci v USA – což podle mého názoru znamená, že bychom se mohli dočkat snížení sazeb Federálního rezervního systému (Fed) dříve.</w:t>
      </w:r>
    </w:p>
    <w:p w:rsidR="005A3F63" w:rsidRDefault="00B41391" w:rsidP="005A3F63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Dezinflace v USA může vést ke snížení sazeb Fedu ve třetím čtvrtletí</w:t>
      </w:r>
    </w:p>
    <w:p w:rsidR="00B41391" w:rsidRPr="00B41391" w:rsidRDefault="00B41391" w:rsidP="00B41391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41391">
        <w:rPr>
          <w:rFonts w:ascii="Invesco Interstate Light" w:eastAsiaTheme="minorEastAsia" w:hAnsi="Invesco Interstate Light"/>
          <w:sz w:val="22"/>
          <w:szCs w:val="22"/>
        </w:rPr>
        <w:t>Index spotřebitelských cen (CPI) v USA za červen meziměsíčně klesl o 0,1 % a meziročně vzrostl o 3 %, zatímco jádrový CPI meziměsíčně vzrostl o 0,1 % a meziročně o 3,3 %, což bylo pod očekáváním. To je velmi výrazný pokrok – jádrový CPI za červen 2023 meziročně vzrostl o 4,8 % – a přestože inflace nedosahuje 2% cíle Fedu, posouvá se k němu poměrně rychle. Kromě toho americký index cen výrobců (PPI) meziměsíčně vzrostl o 0,2 % a meziročně o 2,6 %, zatímco jádrový PPI se meziměsíčně zvýšil o 0,4 % a meziročně o 3 %.</w:t>
      </w:r>
    </w:p>
    <w:p w:rsidR="00B41391" w:rsidRPr="00B41391" w:rsidRDefault="00B41391" w:rsidP="00B41391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Arial" w:hAnsi="Arial" w:cs="Arial"/>
          <w:color w:val="000000"/>
          <w:lang w:eastAsia="cs-CZ"/>
        </w:rPr>
        <w:br/>
      </w:r>
      <w:r w:rsidRPr="00B41391">
        <w:rPr>
          <w:rFonts w:ascii="Invesco Interstate Light" w:eastAsiaTheme="minorEastAsia" w:hAnsi="Invesco Interstate Light"/>
          <w:sz w:val="22"/>
          <w:szCs w:val="22"/>
        </w:rPr>
        <w:t>Tato data naznačují, že jádrový index výdajů na osobní spotřebu (PCE) se v příštím měsíci pravděpodobně udrží na meziroční úrovni kolem 2,6 %. To je méně, než Fed předpokládal na konci roku pro červnový „dot plot“, tehdy očekával pouze jedno snížení sazeb v tomto roce. To naznačuje, že v roce 2024 je rozhodně prostor pro více než jedno snížení sazeb. Nezapomeňte, že tyto údaje přicházejí v návaznosti na příznivější růst průměrného hodinového výdělku, jak je patrné z červnové zprávy o zaměstnanosti v USA.</w:t>
      </w:r>
    </w:p>
    <w:p w:rsidR="00B41391" w:rsidRPr="00B41391" w:rsidRDefault="00B41391" w:rsidP="00B41391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Arial" w:hAnsi="Arial" w:cs="Arial"/>
          <w:color w:val="000000"/>
          <w:lang w:eastAsia="cs-CZ"/>
        </w:rPr>
        <w:br/>
      </w:r>
      <w:r w:rsidRPr="00B41391">
        <w:rPr>
          <w:rFonts w:ascii="Invesco Interstate Light" w:eastAsiaTheme="minorEastAsia" w:hAnsi="Invesco Interstate Light"/>
          <w:sz w:val="22"/>
          <w:szCs w:val="22"/>
        </w:rPr>
        <w:t>Dalším klíčovým hlediskem pro Fed jsou spotřebitelská inflační očekávání. Předběžná data spotřebitelských inflačních očekávání Michiganské univerzity za červenec ukázal, že očekávání se nadále mírní a jsou zjevně dobře ukotvena. Inflační očekávání na jeden rok dopředu klesla na 2,9 %, stejně jako inflační očekávání na pět let dopředu. I když nedosahují cíle Fedu, domnívám se, že jsme na úrovni, kterou považuji za normální vzhledem k historii. Například před dvaceti lety, v červenci 2004, činila jednoletá inflační očekávání 3 %. A před deseti lety, v červenci 2014, byla inflační očekávání na jeden rok dopředu na úrovni 3,3 %. Před pěti lety, v červenci 2019, činila inflační očekávání na jeden rok dopředu 2,6 %.</w:t>
      </w:r>
    </w:p>
    <w:p w:rsidR="00B41391" w:rsidRPr="00B41391" w:rsidRDefault="00B41391" w:rsidP="00B41391">
      <w:pPr>
        <w:spacing w:before="100" w:beforeAutospacing="1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41391">
        <w:rPr>
          <w:rFonts w:ascii="Invesco Interstate Light" w:eastAsiaTheme="minorEastAsia" w:hAnsi="Invesco Interstate Light"/>
          <w:sz w:val="22"/>
          <w:szCs w:val="22"/>
        </w:rPr>
        <w:t xml:space="preserve">Jak vždy říkám, cesta k dezinflaci není dokonalá; ne každá data podpoří dezinflační příběh. Mínusem v tomto směru jsou ceny kontejnerů. Drewry WCI Composite Index, který sleduje náklady na přepravu 40stopého kontejneru se zbožím, se v uplynulém roce dramaticky zvýšil. V současné době je na úrovni 5 901 USD, což představuje nárůst z 1 474 USD na začátku července 2023. To je sice stále výrazně pod </w:t>
      </w:r>
      <w:r w:rsidRPr="00B41391">
        <w:rPr>
          <w:rFonts w:ascii="Invesco Interstate Light" w:eastAsiaTheme="minorEastAsia" w:hAnsi="Invesco Interstate Light"/>
          <w:sz w:val="22"/>
          <w:szCs w:val="22"/>
        </w:rPr>
        <w:lastRenderedPageBreak/>
        <w:t>pandemickým vrcholem 10 377 USD v září 2021, ale je to o 315 % více než průměrné sazby v roce 2019, které činily 1 420 USD. Zdá se, že jde o situaci způsobenou několika různými faktory, včetně konfliktů v Rudém moři, snížené produktivity přístavů a menší nabídky kontejnerů.</w:t>
      </w:r>
    </w:p>
    <w:p w:rsidR="001C27B4" w:rsidRPr="001C27B4" w:rsidRDefault="00B41391" w:rsidP="001C27B4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Další signály poukazují na oslabování americké ekonomiky, zejména u spotřebitelů</w:t>
      </w:r>
    </w:p>
    <w:p w:rsidR="00B41391" w:rsidRPr="00B41391" w:rsidRDefault="00B41391" w:rsidP="003B3DFD">
      <w:pPr>
        <w:spacing w:before="100" w:beforeAutospacing="1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41391">
        <w:rPr>
          <w:rFonts w:ascii="Invesco Interstate Light" w:eastAsiaTheme="minorEastAsia" w:hAnsi="Invesco Interstate Light"/>
          <w:sz w:val="22"/>
          <w:szCs w:val="22"/>
        </w:rPr>
        <w:t>Nejenže nezaměstnanost v USA výrazně vzrostla – z lednových 3,7 % na 4,1 % v červnu -, ale spotřebitelská nálada se dále zhoršila a v červenci klesala již čtvrtý měsíc po sobě na 66,0 bodu. To je nejnižší úroveň od listopadu 2023. Stojí za povšimnutí, že nejvíce potíží pociťují spotřebitelé z dolní třetiny příjmové hladiny; jejich hodnoty sentimentu jsou podstatně nižší než u spotřebitelů ze střední třetiny.</w:t>
      </w:r>
    </w:p>
    <w:p w:rsidR="003B3DFD" w:rsidRPr="003B3DFD" w:rsidRDefault="003B3DFD" w:rsidP="003B3DFD">
      <w:pPr>
        <w:spacing w:before="100" w:beforeAutospacing="1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B3DFD">
        <w:rPr>
          <w:rFonts w:ascii="Invesco Interstate Light" w:eastAsiaTheme="minorEastAsia" w:hAnsi="Invesco Interstate Light"/>
          <w:sz w:val="22"/>
          <w:szCs w:val="22"/>
        </w:rPr>
        <w:t>A společnosti nám ve svých hovorech o výsledcích hospodaření sdělují, že spotřebitelé oslabují. Například generální ředitel společnosti Pepsi Ramon Laguarta prohlásil, že „</w:t>
      </w:r>
      <w:r w:rsidRPr="003B3DFD">
        <w:rPr>
          <w:rFonts w:ascii="Invesco Interstate Light" w:eastAsiaTheme="minorEastAsia" w:hAnsi="Invesco Interstate Light"/>
          <w:i/>
          <w:iCs/>
          <w:sz w:val="22"/>
          <w:szCs w:val="22"/>
        </w:rPr>
        <w:t>v USA je zjevně spotřebitel, který má větší problémy...</w:t>
      </w:r>
      <w:r w:rsidRPr="003B3DFD">
        <w:rPr>
          <w:rFonts w:ascii="Invesco Interstate Light" w:eastAsiaTheme="minorEastAsia" w:hAnsi="Invesco Interstate Light"/>
          <w:sz w:val="22"/>
          <w:szCs w:val="22"/>
        </w:rPr>
        <w:t>“.                                                                                   </w:t>
      </w:r>
    </w:p>
    <w:p w:rsidR="007F58A4" w:rsidRPr="007F58A4" w:rsidRDefault="003B3DFD" w:rsidP="007F58A4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Banky zahajují výsledkovou sezónu pro druhé čtvrtletí</w:t>
      </w:r>
    </w:p>
    <w:p w:rsidR="003B3DFD" w:rsidRPr="003B3DFD" w:rsidRDefault="003B3DFD" w:rsidP="003B3DF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B3DFD">
        <w:rPr>
          <w:rFonts w:ascii="Invesco Interstate Light" w:eastAsiaTheme="minorEastAsia" w:hAnsi="Invesco Interstate Light"/>
          <w:sz w:val="22"/>
          <w:szCs w:val="22"/>
        </w:rPr>
        <w:t>Ačkoli teprve začala, obecně si myslím, že to bude spíše pozitivní výsledková sezóna. Předpokládá se, že společnosti z indexu S&amp;P 500 dosáhnou ve druhém čtvrtletí růst zisků o 9,3 %, což by bylo nejvyšší meziroční tempo růstu zisků od prvního čtvrtletí roku 2022. Navíc revize zisků směrem dolů, k jakým došlo v průběhu druhého čtvrtletí, byly ve srovnání s úrovní revizí, ke kterým obvykle v tomto období dochází, malé.</w:t>
      </w:r>
    </w:p>
    <w:p w:rsidR="003B3DFD" w:rsidRPr="003B3DFD" w:rsidRDefault="003B3DFD" w:rsidP="003B3DF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B3DFD">
        <w:rPr>
          <w:rFonts w:ascii="Invesco Interstate Light" w:eastAsiaTheme="minorEastAsia" w:hAnsi="Invesco Interstate Light"/>
          <w:sz w:val="22"/>
          <w:szCs w:val="22"/>
        </w:rPr>
        <w:t>Banky byly z velké části prvními společnostmi, které reportují. Čistý úrokový výnos se zhoršil, protože banky musely platit vyšší úrokové sazby, aby si udržely a přilákaly vklady; očekávala bych, že tento trend bude pokračovat. Banky také zvýšily rezervy na ztráty z úvěrů, což je známka toho, že očekávají do budoucna další nepříznivé vlivy.</w:t>
      </w:r>
    </w:p>
    <w:p w:rsidR="005B47D2" w:rsidRDefault="003B3DFD" w:rsidP="00203AEC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Nová vláda Spojeného království zahajuje iniciativy na podporu ekonomiky</w:t>
      </w:r>
    </w:p>
    <w:p w:rsidR="003B3DFD" w:rsidRPr="003B3DFD" w:rsidRDefault="003B3DFD" w:rsidP="003B3DF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B3DFD">
        <w:rPr>
          <w:rFonts w:ascii="Invesco Interstate Light" w:eastAsiaTheme="minorEastAsia" w:hAnsi="Invesco Interstate Light"/>
          <w:sz w:val="22"/>
          <w:szCs w:val="22"/>
        </w:rPr>
        <w:t>Nová britská labouristická vláda neztrácí čas, aby ukázala, že se zaměřuje na hospodářský růst, a zahajuje činnost britského Fondu strategického rozvoje (UK Strategic Development Sovereign Wealth Fund), který disponuje značnými veřejnými prostředky a jehož cílem je přilákat mnohem více soukromých investic.</w:t>
      </w:r>
    </w:p>
    <w:p w:rsidR="003B3DFD" w:rsidRDefault="003B3DFD" w:rsidP="003B3DF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B3DFD">
        <w:rPr>
          <w:rFonts w:ascii="Invesco Interstate Light" w:eastAsiaTheme="minorEastAsia" w:hAnsi="Invesco Interstate Light"/>
          <w:sz w:val="22"/>
          <w:szCs w:val="22"/>
        </w:rPr>
        <w:lastRenderedPageBreak/>
        <w:t>Cílem tohoto fondu národního bohatství v hodnotě několika miliard liber je růst britské ekonomiky prostřednictvím podnikatelských investic. Vláda zatím vyčlenila 7,3 miliardy liber, aby mohly být „okamžitě“ realizovány investice do oblastí, jako je rozvoj přístavů, výroba a obnovitelné zdroje energie.</w:t>
      </w:r>
    </w:p>
    <w:p w:rsidR="003B3DFD" w:rsidRPr="003B3DFD" w:rsidRDefault="003B3DFD" w:rsidP="003B3DF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B3DFD">
        <w:rPr>
          <w:rFonts w:ascii="Invesco Interstate Light" w:eastAsiaTheme="minorEastAsia" w:hAnsi="Invesco Interstate Light"/>
          <w:sz w:val="22"/>
          <w:szCs w:val="22"/>
        </w:rPr>
        <w:t>To vše je součástí širšího trendu, který jsme zaznamenali v našem půlročním investičním výhledu: využívání průmyslové politiky k formování ekonomiky tak, že se zaměří na konkrétní odvětví nebo hospodářskou činnost. Jak vysvětlil Mezinárodní měnový fond, větší zájem o průmyslovou politiku je způsoben tím, že vlády hledají „účinné nástroje a strategie k nápravě následků četných krizí... ve spojení s rostoucím geopolitickým napětím a konflikty, včetně těch o území, zdroje a vedoucí postavení v oblasti nových technologií“, a také „neuspokojenými požadavky veřejnosti na strategie zmírňování dopadů změny klimatu a přizpůsobování se této změně “.</w:t>
      </w:r>
    </w:p>
    <w:p w:rsidR="003B3DFD" w:rsidRPr="003B3DFD" w:rsidRDefault="003B3DFD" w:rsidP="003B3DF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B3DFD">
        <w:rPr>
          <w:rFonts w:ascii="Invesco Interstate Light" w:eastAsiaTheme="minorEastAsia" w:hAnsi="Invesco Interstate Light"/>
          <w:sz w:val="22"/>
          <w:szCs w:val="22"/>
        </w:rPr>
        <w:t>Stručně řečeno, kvůli obavám o ekonomickou a národní bezpečnost nyní země mnohem častěji používají průmyslovou politiku jako vlastní nástroj – což je podle mého názoru mnohem vhodnější a účinnější než třeba používání cel při snaze podpořit růst a formovat ekonomiku. Stačí se podívat na aplikaci průmyslové politiky v USA na podporu výstavby závodů na výrobu polovodičů.</w:t>
      </w:r>
    </w:p>
    <w:p w:rsidR="007F5F69" w:rsidRDefault="007F5F69" w:rsidP="007F5F69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C</w:t>
      </w:r>
      <w:r w:rsidR="00CE0F1D">
        <w:rPr>
          <w:rFonts w:ascii="Invesco Interstate Light" w:hAnsi="Invesco Interstate Light"/>
          <w:b/>
          <w:bCs/>
          <w:sz w:val="22"/>
          <w:szCs w:val="22"/>
        </w:rPr>
        <w:t>o to vše znamená pro investory?</w:t>
      </w:r>
    </w:p>
    <w:p w:rsidR="00CE0F1D" w:rsidRPr="00CE0F1D" w:rsidRDefault="00CE0F1D" w:rsidP="00CE0F1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E0F1D">
        <w:rPr>
          <w:rFonts w:ascii="Invesco Interstate Light" w:eastAsiaTheme="minorEastAsia" w:hAnsi="Invesco Interstate Light"/>
          <w:sz w:val="22"/>
          <w:szCs w:val="22"/>
        </w:rPr>
        <w:t>Neignorujte dezinflační trend. Na základě dat, která vidíme, se domnívám, že Fed určitě ještě sníží sazby před koncem třetího čtvrtletí. Tento názor jsem měla předtím a rozhodně v něm nezakolísám ani nyní, kdy se data stala přesvědčivějšími. Předpokládám, že akcie s menší kapitalizací a cyklické akcie budou diskontovat opětovné zrychlení ekonomiky později v tomto roce.</w:t>
      </w:r>
    </w:p>
    <w:p w:rsidR="00CE0F1D" w:rsidRPr="00CE0F1D" w:rsidRDefault="00CE0F1D" w:rsidP="00CE0F1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E0F1D">
        <w:rPr>
          <w:rFonts w:ascii="Invesco Interstate Light" w:eastAsiaTheme="minorEastAsia" w:hAnsi="Invesco Interstate Light"/>
          <w:sz w:val="22"/>
          <w:szCs w:val="22"/>
        </w:rPr>
        <w:t>Očekávám, že americký dolar bude více oslabovat, což by mělo poskytnout vítr do plachet zahraničním akciím. Pozitivně hodnotím zejména britské akcie, kanadské akcie a akcie rozvíjejících se trhů. (Volatilita evropských akcií by mohla představovat nákupní příležitosti.) Všechny mají atraktivní ocenění, větší cyklickou expozici a katalyzátor v podobě snižování sazeb v dohledu.</w:t>
      </w:r>
    </w:p>
    <w:p w:rsidR="00CE0F1D" w:rsidRPr="00CE0F1D" w:rsidRDefault="00CE0F1D" w:rsidP="00CE0F1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E0F1D">
        <w:rPr>
          <w:rFonts w:ascii="Invesco Interstate Light" w:eastAsiaTheme="minorEastAsia" w:hAnsi="Invesco Interstate Light"/>
          <w:sz w:val="22"/>
          <w:szCs w:val="22"/>
        </w:rPr>
        <w:t>A nyní, když se pravděpodobně zrychlí globální uvolňování, uzamčení vyšších výnosů dluhopisů, by podle mého názoru mohlo mít smysl zvýšit expozici vůči dluhopisům investičního stupně a komunálním dluhopisům.</w:t>
      </w:r>
    </w:p>
    <w:p w:rsidR="00CE0F1D" w:rsidRPr="00CE0F1D" w:rsidRDefault="00CE0F1D" w:rsidP="00CE0F1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E0F1D">
        <w:rPr>
          <w:rFonts w:ascii="Invesco Interstate Light" w:eastAsiaTheme="minorEastAsia" w:hAnsi="Invesco Interstate Light"/>
          <w:sz w:val="22"/>
          <w:szCs w:val="22"/>
        </w:rPr>
        <w:lastRenderedPageBreak/>
        <w:t>Nenavrhuji však přesun prostředků od technologických společností ve prospěch jiných oblastí, jako jsou hodnotové akcie, akcie s malou kapitalizací a akcie jiných než amerických společností. Naopak, data naznačují, že mnoho investorů má na bokem značné množství peněžních prostředků, které mohou navážit do oblastí, které budou pravděpodobně takticky těžit z uvolnění měnové politiky.</w:t>
      </w:r>
    </w:p>
    <w:p w:rsidR="00CE0F1D" w:rsidRPr="00CE0F1D" w:rsidRDefault="00CE0F1D" w:rsidP="00CE0F1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E0F1D">
        <w:rPr>
          <w:rFonts w:ascii="Invesco Interstate Light" w:eastAsiaTheme="minorEastAsia" w:hAnsi="Invesco Interstate Light"/>
          <w:sz w:val="22"/>
          <w:szCs w:val="22"/>
        </w:rPr>
        <w:t>Ačkoli to je můj základní předpoklad, existuje riziko, že centrální banky – zejména Fed – nezačaly snižovat dostatečně rychle. Existuje velmi reálná možnost, že dlouhé a proměnlivé zpoždění měnové politiky již mělo na americkou ekonomiku velmi negativní dopad, který by mohl vést k vážnému poklesu. V takovém případě by trhy v očekávání hospodářského poklesu přešly v tomto typu prostředí do pozice „risk off“.</w:t>
      </w:r>
    </w:p>
    <w:p w:rsidR="00CE0F1D" w:rsidRPr="00CE0F1D" w:rsidRDefault="00CE0F1D" w:rsidP="00CE0F1D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E0F1D">
        <w:rPr>
          <w:rFonts w:ascii="Invesco Interstate Light" w:eastAsiaTheme="minorEastAsia" w:hAnsi="Invesco Interstate Light"/>
          <w:sz w:val="22"/>
          <w:szCs w:val="22"/>
        </w:rPr>
        <w:t>Tento scénář rozhodně není mým základním scénářem, ale myslím si, že někdy v nadcházejících měsících nastane potenciál pro výprodej. Jak jsem však již řekla dříve, myslím si, že jakýkoli výprodej by byl krátkodobý a představoval by příležitost k nákupu.</w:t>
      </w:r>
    </w:p>
    <w:p w:rsidR="00452739" w:rsidRPr="00F53F8D" w:rsidRDefault="00452739" w:rsidP="001730BC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:rsidR="00036240" w:rsidRDefault="00036240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</w:rPr>
      </w:pPr>
    </w:p>
    <w:p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Invesco Asset Management Deutschland GmbH, Invesco Asset Management Österreich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Invesco Asset Management Deutschland GmbH- jsou součástí Invesco Ltd., </w:t>
      </w:r>
    </w:p>
    <w:p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 případě jakýchkoli dotazů nebo potřeby dalších informací se obraťte na společnost Invesco Asset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Deutschland GmbH, Valentin Jakubow, telefon +49 69 29807-311.</w:t>
      </w:r>
    </w:p>
    <w:p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lastRenderedPageBreak/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Vydavatelem těchto informací v České republice je společnost Invesco Asset Management Deutschland GmbH, An der Welle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Red Oak ID: 1958016</w:t>
      </w:r>
    </w:p>
    <w:p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gsm: + 420 720 406 659</w:t>
      </w:r>
    </w:p>
    <w:p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AD7532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3F" w:rsidRDefault="00922A3F">
      <w:r>
        <w:separator/>
      </w:r>
    </w:p>
  </w:endnote>
  <w:endnote w:type="continuationSeparator" w:id="0">
    <w:p w:rsidR="00922A3F" w:rsidRDefault="00922A3F">
      <w:r>
        <w:continuationSeparator/>
      </w:r>
    </w:p>
  </w:endnote>
  <w:endnote w:type="continuationNotice" w:id="1">
    <w:p w:rsidR="00922A3F" w:rsidRDefault="00922A3F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3F" w:rsidRDefault="00922A3F">
      <w:r>
        <w:separator/>
      </w:r>
    </w:p>
  </w:footnote>
  <w:footnote w:type="continuationSeparator" w:id="0">
    <w:p w:rsidR="00922A3F" w:rsidRDefault="00922A3F">
      <w:r>
        <w:continuationSeparator/>
      </w:r>
    </w:p>
  </w:footnote>
  <w:footnote w:type="continuationNotice" w:id="1">
    <w:p w:rsidR="00922A3F" w:rsidRDefault="00922A3F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33" w:rsidRPr="00DD40A4" w:rsidRDefault="00702C33" w:rsidP="00F01B90">
    <w:pPr>
      <w:pStyle w:val="Header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:rsidR="00702C33" w:rsidRPr="000730A6" w:rsidRDefault="00702C33" w:rsidP="00F01B90">
    <w:pPr>
      <w:pStyle w:val="Header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:rsidR="00702C33" w:rsidRPr="000730A6" w:rsidRDefault="00297202" w:rsidP="0083625E">
    <w:pPr>
      <w:pStyle w:val="Header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19</w:t>
    </w:r>
    <w:r w:rsidR="0083625E">
      <w:rPr>
        <w:color w:val="000000"/>
        <w:sz w:val="28"/>
        <w:szCs w:val="28"/>
      </w:rPr>
      <w:t>.</w:t>
    </w:r>
    <w:r w:rsidR="00B41391">
      <w:rPr>
        <w:color w:val="000000"/>
        <w:sz w:val="28"/>
        <w:szCs w:val="28"/>
      </w:rPr>
      <w:t>7</w:t>
    </w:r>
    <w:r w:rsidR="0083625E">
      <w:rPr>
        <w:color w:val="000000"/>
        <w:sz w:val="28"/>
        <w:szCs w:val="28"/>
      </w:rPr>
      <w:t>.202</w:t>
    </w:r>
    <w:r w:rsidR="00FE0021">
      <w:rPr>
        <w:color w:val="000000"/>
        <w:sz w:val="28"/>
        <w:szCs w:val="28"/>
      </w:rPr>
      <w:t>4</w:t>
    </w:r>
  </w:p>
  <w:p w:rsidR="00702C33" w:rsidRPr="000730A6" w:rsidRDefault="00702C33" w:rsidP="00EB6787">
    <w:pPr>
      <w:pStyle w:val="Header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:rsidR="00702C33" w:rsidRPr="000730A6" w:rsidRDefault="00702C33" w:rsidP="00EB6787">
    <w:pPr>
      <w:pStyle w:val="Header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:rsidR="00702C33" w:rsidRPr="000730A6" w:rsidRDefault="00702C33" w:rsidP="00EB6787">
    <w:pPr>
      <w:pStyle w:val="Header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:rsidR="00702C33" w:rsidRPr="00DD40A4" w:rsidRDefault="00702C33" w:rsidP="00EB6787">
    <w:pPr>
      <w:pStyle w:val="Header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F1666"/>
    <w:multiLevelType w:val="multilevel"/>
    <w:tmpl w:val="11820CCE"/>
    <w:numStyleLink w:val="FormatvorlageAufgezhlt"/>
  </w:abstractNum>
  <w:abstractNum w:abstractNumId="2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120E66C1"/>
    <w:multiLevelType w:val="hybridMultilevel"/>
    <w:tmpl w:val="9A2E8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>
    <w:nsid w:val="1E345DB5"/>
    <w:multiLevelType w:val="hybridMultilevel"/>
    <w:tmpl w:val="4A88B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26B76"/>
    <w:multiLevelType w:val="hybridMultilevel"/>
    <w:tmpl w:val="223E1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3392A"/>
    <w:multiLevelType w:val="hybridMultilevel"/>
    <w:tmpl w:val="3ACE4E12"/>
    <w:lvl w:ilvl="0" w:tplc="48E26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272E8"/>
    <w:multiLevelType w:val="hybridMultilevel"/>
    <w:tmpl w:val="0CF434E4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46D70"/>
    <w:multiLevelType w:val="multilevel"/>
    <w:tmpl w:val="11820CCE"/>
    <w:numStyleLink w:val="FormatvorlageAufgezhlt"/>
  </w:abstractNum>
  <w:abstractNum w:abstractNumId="15">
    <w:nsid w:val="40AF481D"/>
    <w:multiLevelType w:val="hybridMultilevel"/>
    <w:tmpl w:val="7E585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A2BBE"/>
    <w:multiLevelType w:val="hybridMultilevel"/>
    <w:tmpl w:val="B4883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3D085B"/>
    <w:multiLevelType w:val="hybridMultilevel"/>
    <w:tmpl w:val="755E2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DDB"/>
    <w:multiLevelType w:val="hybridMultilevel"/>
    <w:tmpl w:val="B4AA798C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30B23"/>
    <w:multiLevelType w:val="multilevel"/>
    <w:tmpl w:val="11820CCE"/>
    <w:numStyleLink w:val="FormatvorlageAufgezhlt"/>
  </w:abstractNum>
  <w:abstractNum w:abstractNumId="23">
    <w:nsid w:val="525A0C52"/>
    <w:multiLevelType w:val="hybridMultilevel"/>
    <w:tmpl w:val="F41A0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2B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9C3397"/>
    <w:multiLevelType w:val="hybridMultilevel"/>
    <w:tmpl w:val="6B8A2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9F0EFC"/>
    <w:multiLevelType w:val="hybridMultilevel"/>
    <w:tmpl w:val="144E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A4861"/>
    <w:multiLevelType w:val="hybridMultilevel"/>
    <w:tmpl w:val="BD14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403C3"/>
    <w:multiLevelType w:val="multilevel"/>
    <w:tmpl w:val="11820CCE"/>
    <w:numStyleLink w:val="FormatvorlageAufgezhlt"/>
  </w:abstractNum>
  <w:abstractNum w:abstractNumId="33">
    <w:nsid w:val="6C6C4721"/>
    <w:multiLevelType w:val="multilevel"/>
    <w:tmpl w:val="11820CCE"/>
    <w:numStyleLink w:val="FormatvorlageAufgezhlt"/>
  </w:abstractNum>
  <w:abstractNum w:abstractNumId="34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54370"/>
    <w:multiLevelType w:val="multilevel"/>
    <w:tmpl w:val="C00C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E5380B"/>
    <w:multiLevelType w:val="multilevel"/>
    <w:tmpl w:val="11820CCE"/>
    <w:numStyleLink w:val="FormatvorlageAufgezhlt"/>
  </w:abstractNum>
  <w:abstractNum w:abstractNumId="37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8"/>
  </w:num>
  <w:num w:numId="4">
    <w:abstractNumId w:val="18"/>
  </w:num>
  <w:num w:numId="5">
    <w:abstractNumId w:val="22"/>
  </w:num>
  <w:num w:numId="6">
    <w:abstractNumId w:val="32"/>
  </w:num>
  <w:num w:numId="7">
    <w:abstractNumId w:val="33"/>
  </w:num>
  <w:num w:numId="8">
    <w:abstractNumId w:val="1"/>
  </w:num>
  <w:num w:numId="9">
    <w:abstractNumId w:val="36"/>
  </w:num>
  <w:num w:numId="10">
    <w:abstractNumId w:val="14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42"/>
  </w:num>
  <w:num w:numId="15">
    <w:abstractNumId w:val="27"/>
  </w:num>
  <w:num w:numId="16">
    <w:abstractNumId w:val="7"/>
  </w:num>
  <w:num w:numId="17">
    <w:abstractNumId w:val="2"/>
  </w:num>
  <w:num w:numId="18">
    <w:abstractNumId w:val="31"/>
  </w:num>
  <w:num w:numId="19">
    <w:abstractNumId w:val="34"/>
  </w:num>
  <w:num w:numId="20">
    <w:abstractNumId w:val="39"/>
  </w:num>
  <w:num w:numId="21">
    <w:abstractNumId w:val="38"/>
  </w:num>
  <w:num w:numId="22">
    <w:abstractNumId w:val="13"/>
  </w:num>
  <w:num w:numId="23">
    <w:abstractNumId w:val="26"/>
  </w:num>
  <w:num w:numId="24">
    <w:abstractNumId w:val="20"/>
  </w:num>
  <w:num w:numId="25">
    <w:abstractNumId w:val="40"/>
  </w:num>
  <w:num w:numId="26">
    <w:abstractNumId w:val="25"/>
  </w:num>
  <w:num w:numId="27">
    <w:abstractNumId w:val="3"/>
  </w:num>
  <w:num w:numId="28">
    <w:abstractNumId w:val="6"/>
  </w:num>
  <w:num w:numId="29">
    <w:abstractNumId w:val="37"/>
  </w:num>
  <w:num w:numId="30">
    <w:abstractNumId w:val="23"/>
  </w:num>
  <w:num w:numId="31">
    <w:abstractNumId w:val="24"/>
  </w:num>
  <w:num w:numId="32">
    <w:abstractNumId w:val="8"/>
  </w:num>
  <w:num w:numId="33">
    <w:abstractNumId w:val="35"/>
  </w:num>
  <w:num w:numId="34">
    <w:abstractNumId w:val="17"/>
  </w:num>
  <w:num w:numId="35">
    <w:abstractNumId w:val="11"/>
  </w:num>
  <w:num w:numId="36">
    <w:abstractNumId w:val="10"/>
  </w:num>
  <w:num w:numId="37">
    <w:abstractNumId w:val="15"/>
  </w:num>
  <w:num w:numId="38">
    <w:abstractNumId w:val="19"/>
  </w:num>
  <w:num w:numId="39">
    <w:abstractNumId w:val="5"/>
  </w:num>
  <w:num w:numId="40">
    <w:abstractNumId w:val="29"/>
  </w:num>
  <w:num w:numId="41">
    <w:abstractNumId w:val="21"/>
  </w:num>
  <w:num w:numId="42">
    <w:abstractNumId w:val="12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240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498A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A29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997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2E1D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3A54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3CA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6C3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0BC"/>
    <w:rsid w:val="00173114"/>
    <w:rsid w:val="0017430A"/>
    <w:rsid w:val="001744FC"/>
    <w:rsid w:val="001745FB"/>
    <w:rsid w:val="0017488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7B4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AEC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4F9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97202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7C8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17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4DF1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31B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3DFD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1D7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5CDC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7DD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2739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4DD4"/>
    <w:rsid w:val="00475349"/>
    <w:rsid w:val="0047544F"/>
    <w:rsid w:val="0047561C"/>
    <w:rsid w:val="004756DD"/>
    <w:rsid w:val="004759D4"/>
    <w:rsid w:val="0047656F"/>
    <w:rsid w:val="0047658F"/>
    <w:rsid w:val="00476AAD"/>
    <w:rsid w:val="00477011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3A6D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4E3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7BF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1D"/>
    <w:rsid w:val="004E6C79"/>
    <w:rsid w:val="004E75FF"/>
    <w:rsid w:val="004E77B1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357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3F9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3F63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5F7A1B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7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16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0D33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ACA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1E47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77B4C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58A4"/>
    <w:rsid w:val="007F5F69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1F23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6DF4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C81"/>
    <w:rsid w:val="00900F3B"/>
    <w:rsid w:val="00901264"/>
    <w:rsid w:val="009019B8"/>
    <w:rsid w:val="00901BD4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A3F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AC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2CED"/>
    <w:rsid w:val="00A539BE"/>
    <w:rsid w:val="00A54226"/>
    <w:rsid w:val="00A56779"/>
    <w:rsid w:val="00A5698A"/>
    <w:rsid w:val="00A57442"/>
    <w:rsid w:val="00A57A9E"/>
    <w:rsid w:val="00A57F75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9A"/>
    <w:rsid w:val="00A844DA"/>
    <w:rsid w:val="00A84CB2"/>
    <w:rsid w:val="00A84D9D"/>
    <w:rsid w:val="00A8518C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532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0A6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391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DFB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4E1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1EB"/>
    <w:rsid w:val="00BC5692"/>
    <w:rsid w:val="00BC59FB"/>
    <w:rsid w:val="00BC5A35"/>
    <w:rsid w:val="00BC5E71"/>
    <w:rsid w:val="00BC6B6F"/>
    <w:rsid w:val="00BC6D6F"/>
    <w:rsid w:val="00BC7A3A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D5D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1FA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5A77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0F1D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849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CF7AA1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3B8E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C93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744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1A57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5897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4F6C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0F5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413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0748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490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4986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F6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0E9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0D3"/>
    <w:rsid w:val="00F06780"/>
    <w:rsid w:val="00F06E45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6CC7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3F8D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021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Heading1">
    <w:name w:val="heading 1"/>
    <w:basedOn w:val="Normal"/>
    <w:next w:val="Normal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Heading2">
    <w:name w:val="heading 2"/>
    <w:basedOn w:val="Normal"/>
    <w:next w:val="Normal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Heading3">
    <w:name w:val="heading 3"/>
    <w:basedOn w:val="Normal"/>
    <w:next w:val="Normal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59A5D35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al"/>
    <w:next w:val="Normal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al"/>
    <w:uiPriority w:val="1"/>
    <w:rsid w:val="59A5D358"/>
    <w:pPr>
      <w:spacing w:before="20" w:after="20"/>
      <w:ind w:left="57"/>
    </w:pPr>
    <w:rPr>
      <w:rFonts w:cs="Arial"/>
    </w:rPr>
  </w:style>
  <w:style w:type="table" w:styleId="TableGrid">
    <w:name w:val="Table Grid"/>
    <w:basedOn w:val="TableNormal"/>
    <w:rsid w:val="003878E1"/>
    <w:pPr>
      <w:spacing w:line="21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FormatvorlageAufgezhlt">
    <w:name w:val="Formatvorlage Aufgezählt"/>
    <w:basedOn w:val="NoList"/>
    <w:rsid w:val="002B5B06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al"/>
    <w:uiPriority w:val="1"/>
    <w:rsid w:val="59A5D358"/>
    <w:rPr>
      <w:u w:val="single"/>
    </w:rPr>
  </w:style>
  <w:style w:type="paragraph" w:customStyle="1" w:styleId="Sub-Headline11">
    <w:name w:val="Sub-Headline 11"/>
    <w:basedOn w:val="Heading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al"/>
    <w:uiPriority w:val="1"/>
    <w:rsid w:val="59A5D358"/>
    <w:rPr>
      <w:rFonts w:ascii="Interstate-Bold" w:hAnsi="Interstate-Bold"/>
    </w:rPr>
  </w:style>
  <w:style w:type="paragraph" w:styleId="HTMLPreformatted">
    <w:name w:val="HTML Preformatted"/>
    <w:basedOn w:val="Normal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BalloonText">
    <w:name w:val="Balloon Text"/>
    <w:basedOn w:val="Normal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DocumentMap">
    <w:name w:val="Document Map"/>
    <w:basedOn w:val="Normal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59A5D358"/>
    <w:rPr>
      <w:sz w:val="20"/>
      <w:szCs w:val="20"/>
    </w:rPr>
  </w:style>
  <w:style w:type="character" w:styleId="FootnoteReference">
    <w:name w:val="footnote reference"/>
    <w:uiPriority w:val="99"/>
    <w:rsid w:val="00E64197"/>
    <w:rPr>
      <w:vertAlign w:val="superscript"/>
    </w:rPr>
  </w:style>
  <w:style w:type="character" w:styleId="CommentReference">
    <w:name w:val="annotation reference"/>
    <w:semiHidden/>
    <w:rsid w:val="00E330AF"/>
    <w:rPr>
      <w:sz w:val="16"/>
      <w:szCs w:val="16"/>
    </w:rPr>
  </w:style>
  <w:style w:type="paragraph" w:styleId="CommentText">
    <w:name w:val="annotation text"/>
    <w:basedOn w:val="Normal"/>
    <w:uiPriority w:val="1"/>
    <w:semiHidden/>
    <w:rsid w:val="59A5D358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1"/>
    <w:semiHidden/>
    <w:rsid w:val="59A5D358"/>
    <w:rPr>
      <w:b/>
      <w:bCs/>
    </w:rPr>
  </w:style>
  <w:style w:type="character" w:styleId="FollowedHyperlink">
    <w:name w:val="FollowedHyperlink"/>
    <w:rsid w:val="00CD4F67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BodyTextChar">
    <w:name w:val="Body Text Char"/>
    <w:link w:val="Body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ListParagraph">
    <w:name w:val="List Paragraph"/>
    <w:basedOn w:val="Normal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00166"/>
  </w:style>
  <w:style w:type="paragraph" w:styleId="Revision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link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al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DefaultParagraphFont"/>
    <w:qFormat/>
    <w:rsid w:val="004545D9"/>
    <w:rPr>
      <w:b/>
      <w:bCs/>
    </w:rPr>
  </w:style>
  <w:style w:type="character" w:styleId="Strong">
    <w:name w:val="Strong"/>
    <w:basedOn w:val="DefaultParagraphFont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59A5D358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59A5D358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9A5D358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9A5D358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9A5D358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9A5D358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9A5D358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9A5D358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9A5D358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9A5D358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al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al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al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26F918-6FDC-48AA-897E-2562459D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1424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2024-07-19T07:05:00Z</dcterms:created>
  <dcterms:modified xsi:type="dcterms:W3CDTF">2024-07-19T07:05:00Z</dcterms:modified>
</cp:coreProperties>
</file>