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AF0D" w14:textId="77777777" w:rsidR="006C0694" w:rsidRPr="0085622D" w:rsidRDefault="006C0694" w:rsidP="00C00401">
      <w:pPr>
        <w:rPr>
          <w:rFonts w:cs="Open Sans"/>
        </w:rPr>
      </w:pPr>
    </w:p>
    <w:p w14:paraId="35020520" w14:textId="4B823B54" w:rsidR="00052C56" w:rsidRPr="0085622D" w:rsidRDefault="008316B2" w:rsidP="00803EB2">
      <w:pPr>
        <w:pStyle w:val="Nadpis1"/>
        <w:rPr>
          <w:rFonts w:cs="Open Sans"/>
        </w:rPr>
      </w:pPr>
      <w:r w:rsidRPr="008316B2">
        <w:rPr>
          <w:rFonts w:cs="Open Sans"/>
        </w:rPr>
        <w:t xml:space="preserve">Důchodci jsou teď nejbohatší, </w:t>
      </w:r>
      <w:r w:rsidR="00F433F5">
        <w:rPr>
          <w:rFonts w:cs="Open Sans"/>
        </w:rPr>
        <w:t>další generace</w:t>
      </w:r>
      <w:r w:rsidRPr="008316B2">
        <w:rPr>
          <w:rFonts w:cs="Open Sans"/>
        </w:rPr>
        <w:t xml:space="preserve"> už budou muset investovat sam</w:t>
      </w:r>
      <w:r w:rsidR="00F60944">
        <w:rPr>
          <w:rFonts w:cs="Open Sans"/>
        </w:rPr>
        <w:t>y</w:t>
      </w:r>
    </w:p>
    <w:p w14:paraId="51B75458" w14:textId="40525E98" w:rsidR="004B7137" w:rsidRPr="004B7137" w:rsidRDefault="00940CC0" w:rsidP="004B7137">
      <w:pPr>
        <w:rPr>
          <w:rFonts w:cs="Open Sans"/>
          <w:b/>
          <w:bCs/>
        </w:rPr>
      </w:pPr>
      <w:r w:rsidRPr="00940CC0">
        <w:rPr>
          <w:rFonts w:cs="Open Sans"/>
          <w:b/>
          <w:bCs/>
        </w:rPr>
        <w:t xml:space="preserve">Praha </w:t>
      </w:r>
      <w:r w:rsidR="00AD517A">
        <w:rPr>
          <w:rFonts w:cs="Open Sans"/>
          <w:b/>
          <w:bCs/>
        </w:rPr>
        <w:t>13</w:t>
      </w:r>
      <w:r w:rsidRPr="00940CC0">
        <w:rPr>
          <w:rFonts w:cs="Open Sans"/>
          <w:b/>
          <w:bCs/>
        </w:rPr>
        <w:t>. srpna 2024 –</w:t>
      </w:r>
      <w:r w:rsidR="00C51B36">
        <w:rPr>
          <w:rFonts w:cs="Open Sans"/>
          <w:b/>
          <w:bCs/>
        </w:rPr>
        <w:t xml:space="preserve"> </w:t>
      </w:r>
      <w:r w:rsidR="004B7137" w:rsidRPr="004B7137">
        <w:rPr>
          <w:rFonts w:cs="Open Sans"/>
          <w:b/>
          <w:bCs/>
        </w:rPr>
        <w:t>Vzhledem ke stavu veřejných financí a nepříznivému demografickému vývoji se generace</w:t>
      </w:r>
      <w:r w:rsidR="004B7137">
        <w:rPr>
          <w:rFonts w:cs="Open Sans"/>
          <w:b/>
          <w:bCs/>
        </w:rPr>
        <w:t xml:space="preserve"> budoucích důchodců</w:t>
      </w:r>
      <w:r w:rsidR="004B7137" w:rsidRPr="004B7137">
        <w:rPr>
          <w:rFonts w:cs="Open Sans"/>
          <w:b/>
          <w:bCs/>
        </w:rPr>
        <w:t xml:space="preserve"> budou muset na penzi připravit samy. Dnes připadá na jednoho důchodce tři a půl ekonomicky aktivních obyvatel</w:t>
      </w:r>
      <w:r w:rsidR="00412C78">
        <w:rPr>
          <w:rFonts w:cs="Open Sans"/>
          <w:b/>
          <w:bCs/>
        </w:rPr>
        <w:t>,</w:t>
      </w:r>
      <w:r w:rsidR="004B7137" w:rsidRPr="004B7137">
        <w:rPr>
          <w:rFonts w:cs="Open Sans"/>
          <w:b/>
          <w:bCs/>
        </w:rPr>
        <w:t xml:space="preserve"> za 30 let to budou </w:t>
      </w:r>
      <w:r w:rsidR="00656617">
        <w:rPr>
          <w:rFonts w:cs="Open Sans"/>
          <w:b/>
          <w:bCs/>
        </w:rPr>
        <w:t>pouze</w:t>
      </w:r>
      <w:r w:rsidR="004B7137" w:rsidRPr="004B7137">
        <w:rPr>
          <w:rFonts w:cs="Open Sans"/>
          <w:b/>
          <w:bCs/>
        </w:rPr>
        <w:t xml:space="preserve"> dva. V penzi důchodci tráví v průměru 24 let. Teď jsou sice </w:t>
      </w:r>
      <w:r w:rsidR="003C055C">
        <w:rPr>
          <w:rFonts w:cs="Open Sans"/>
          <w:b/>
          <w:bCs/>
        </w:rPr>
        <w:t>s</w:t>
      </w:r>
      <w:r w:rsidR="004B7137" w:rsidRPr="004B7137">
        <w:rPr>
          <w:rFonts w:cs="Open Sans"/>
          <w:b/>
          <w:bCs/>
        </w:rPr>
        <w:t>tarobní důchodci v poměru k hrubé mzdě nejbohatší, co kdy byli</w:t>
      </w:r>
      <w:r w:rsidR="00CF3D71">
        <w:rPr>
          <w:rFonts w:cs="Open Sans"/>
          <w:b/>
          <w:bCs/>
        </w:rPr>
        <w:t>,</w:t>
      </w:r>
      <w:r w:rsidR="004B7137" w:rsidRPr="004B7137">
        <w:rPr>
          <w:rFonts w:cs="Open Sans"/>
          <w:b/>
          <w:bCs/>
        </w:rPr>
        <w:t xml:space="preserve"> </w:t>
      </w:r>
      <w:r w:rsidR="00CF3D71">
        <w:rPr>
          <w:rFonts w:cs="Open Sans"/>
          <w:b/>
          <w:bCs/>
        </w:rPr>
        <w:t>a</w:t>
      </w:r>
      <w:r w:rsidR="004B7137" w:rsidRPr="004B7137">
        <w:rPr>
          <w:rFonts w:cs="Open Sans"/>
          <w:b/>
          <w:bCs/>
        </w:rPr>
        <w:t>le to se</w:t>
      </w:r>
      <w:r w:rsidR="00CF3D71">
        <w:rPr>
          <w:rFonts w:cs="Open Sans"/>
          <w:b/>
          <w:bCs/>
        </w:rPr>
        <w:t xml:space="preserve"> s úpravami důchodového systému</w:t>
      </w:r>
      <w:r w:rsidR="004B7137" w:rsidRPr="004B7137">
        <w:rPr>
          <w:rFonts w:cs="Open Sans"/>
          <w:b/>
          <w:bCs/>
        </w:rPr>
        <w:t xml:space="preserve"> změní.</w:t>
      </w:r>
    </w:p>
    <w:p w14:paraId="07659C66" w14:textId="16C1205F" w:rsidR="00D07D7E" w:rsidRPr="004F2B8F" w:rsidRDefault="00940CC0" w:rsidP="00D07D7E">
      <w:r w:rsidRPr="004F2B8F">
        <w:rPr>
          <w:rFonts w:cs="Open Sans"/>
        </w:rPr>
        <w:t xml:space="preserve">Systém důchodového </w:t>
      </w:r>
      <w:r w:rsidR="00737B21">
        <w:rPr>
          <w:rFonts w:cs="Open Sans"/>
        </w:rPr>
        <w:t>pojištění</w:t>
      </w:r>
      <w:r w:rsidRPr="004F2B8F">
        <w:rPr>
          <w:rFonts w:cs="Open Sans"/>
        </w:rPr>
        <w:t xml:space="preserve"> v České republice čelí značným výzvám, které vyžadují rychlé a efektivní řešení. Aktuální výdaje</w:t>
      </w:r>
      <w:r w:rsidR="00B904E4" w:rsidRPr="004F2B8F">
        <w:rPr>
          <w:rFonts w:cs="Open Sans"/>
        </w:rPr>
        <w:t xml:space="preserve"> </w:t>
      </w:r>
      <w:r w:rsidRPr="004F2B8F">
        <w:rPr>
          <w:rFonts w:cs="Open Sans"/>
        </w:rPr>
        <w:t xml:space="preserve">na důchody tvoří </w:t>
      </w:r>
      <w:r w:rsidR="0051109E" w:rsidRPr="004F2B8F">
        <w:rPr>
          <w:rFonts w:cs="Open Sans"/>
        </w:rPr>
        <w:t>přibližně</w:t>
      </w:r>
      <w:r w:rsidRPr="004F2B8F">
        <w:rPr>
          <w:rFonts w:cs="Open Sans"/>
        </w:rPr>
        <w:t xml:space="preserve"> </w:t>
      </w:r>
      <w:r w:rsidR="0051109E" w:rsidRPr="004F2B8F">
        <w:rPr>
          <w:rFonts w:cs="Open Sans"/>
        </w:rPr>
        <w:t>třetinu</w:t>
      </w:r>
      <w:r w:rsidR="00E82407" w:rsidRPr="004F2B8F">
        <w:rPr>
          <w:rFonts w:cs="Open Sans"/>
        </w:rPr>
        <w:t xml:space="preserve"> </w:t>
      </w:r>
      <w:r w:rsidR="0051109E" w:rsidRPr="004F2B8F">
        <w:rPr>
          <w:rFonts w:cs="Open Sans"/>
        </w:rPr>
        <w:t>státního</w:t>
      </w:r>
      <w:r w:rsidR="00B904E4" w:rsidRPr="004F2B8F">
        <w:rPr>
          <w:rFonts w:cs="Open Sans"/>
        </w:rPr>
        <w:t xml:space="preserve"> rozpočtu</w:t>
      </w:r>
      <w:r w:rsidRPr="004F2B8F">
        <w:rPr>
          <w:rFonts w:cs="Open Sans"/>
        </w:rPr>
        <w:t>, což představuje necelých 600 miliard Kč ročně. Z této částky si stát musí půjčovat 75 miliard Kč, což odpovídá 1 % českého HDP. Pokud nedojde k zásadním změnám, očekává se, že do poloviny tohoto století by tento dluh mohl dosáhnout až 5 % HDP</w:t>
      </w:r>
      <w:r w:rsidR="0083624C" w:rsidRPr="004F2B8F">
        <w:rPr>
          <w:rFonts w:cs="Open Sans"/>
        </w:rPr>
        <w:t>.</w:t>
      </w:r>
      <w:r w:rsidRPr="004F2B8F">
        <w:rPr>
          <w:rFonts w:cs="Open Sans"/>
        </w:rPr>
        <w:t xml:space="preserve"> </w:t>
      </w:r>
      <w:r w:rsidR="0083624C" w:rsidRPr="004F2B8F">
        <w:rPr>
          <w:rFonts w:cs="Open Sans"/>
        </w:rPr>
        <w:t>To by</w:t>
      </w:r>
      <w:r w:rsidRPr="004F2B8F">
        <w:rPr>
          <w:rFonts w:cs="Open Sans"/>
        </w:rPr>
        <w:t xml:space="preserve"> </w:t>
      </w:r>
      <w:r w:rsidR="00E51E8C" w:rsidRPr="004F2B8F">
        <w:rPr>
          <w:rFonts w:cs="Open Sans"/>
        </w:rPr>
        <w:t xml:space="preserve">pro stát </w:t>
      </w:r>
      <w:r w:rsidR="008D3FFC">
        <w:rPr>
          <w:rFonts w:cs="Open Sans"/>
        </w:rPr>
        <w:t>v dnešních cenách</w:t>
      </w:r>
      <w:r w:rsidRPr="004F2B8F">
        <w:rPr>
          <w:rFonts w:cs="Open Sans"/>
        </w:rPr>
        <w:t xml:space="preserve"> </w:t>
      </w:r>
      <w:r w:rsidR="009F0F6B" w:rsidRPr="004F2B8F">
        <w:rPr>
          <w:rFonts w:cs="Open Sans"/>
        </w:rPr>
        <w:t>znamenalo půjčit si každý rok</w:t>
      </w:r>
      <w:r w:rsidRPr="004F2B8F">
        <w:rPr>
          <w:rFonts w:cs="Open Sans"/>
        </w:rPr>
        <w:t xml:space="preserve"> přes 350 miliard Kč</w:t>
      </w:r>
      <w:r w:rsidR="009B5298" w:rsidRPr="004F2B8F">
        <w:rPr>
          <w:rFonts w:cs="Open Sans"/>
        </w:rPr>
        <w:t xml:space="preserve"> pouze na důchody</w:t>
      </w:r>
      <w:r w:rsidRPr="004F2B8F">
        <w:rPr>
          <w:rFonts w:cs="Open Sans"/>
        </w:rPr>
        <w:t>.</w:t>
      </w:r>
    </w:p>
    <w:p w14:paraId="421428E1" w14:textId="4757ACB0" w:rsidR="00B9487E" w:rsidRPr="0093738F" w:rsidRDefault="00B9487E" w:rsidP="00B9487E">
      <w:pPr>
        <w:rPr>
          <w:b/>
          <w:bCs/>
        </w:rPr>
      </w:pPr>
      <w:r w:rsidRPr="0093738F">
        <w:rPr>
          <w:b/>
          <w:bCs/>
        </w:rPr>
        <w:t>Problémy důchodového systému</w:t>
      </w:r>
    </w:p>
    <w:p w14:paraId="1A7111CA" w14:textId="77777777" w:rsidR="00B9487E" w:rsidRPr="0093738F" w:rsidRDefault="00B9487E" w:rsidP="00B9487E">
      <w:r w:rsidRPr="0093738F">
        <w:t>Jedním z hlavních problémů je nepříznivý demografický vývoj. Počet ekonomicky aktivních obyvatel na jednoho důchodce se neustále snižuje. Zatímco před třiceti lety připadalo na jednoho důchodce pět ekonomicky produktivních obyvatel, dnes jsou to tři a půl a za třicet let to budou pouze dva. K tomu se přidává prodlužující se délka života v důchodu. Před padesáti lety trávili důchodci v penzi průměrně 15 let, dnes je to již 24 let, přičemž odborníci považují za ideální dobu zhruba 21,5 let.</w:t>
      </w:r>
    </w:p>
    <w:p w14:paraId="7EC421E2" w14:textId="77777777" w:rsidR="00B9487E" w:rsidRPr="0093738F" w:rsidRDefault="00B9487E" w:rsidP="00B9487E">
      <w:pPr>
        <w:rPr>
          <w:b/>
          <w:bCs/>
        </w:rPr>
      </w:pPr>
      <w:r w:rsidRPr="0093738F">
        <w:rPr>
          <w:b/>
          <w:bCs/>
        </w:rPr>
        <w:t>Nutnost důchodové reformy</w:t>
      </w:r>
    </w:p>
    <w:p w14:paraId="4554E173" w14:textId="593CB289" w:rsidR="00B9487E" w:rsidRPr="001F7059" w:rsidRDefault="001F7059" w:rsidP="00B9487E">
      <w:r>
        <w:rPr>
          <w:i/>
          <w:iCs/>
        </w:rPr>
        <w:t>„</w:t>
      </w:r>
      <w:r w:rsidR="00B9487E" w:rsidRPr="001F7059">
        <w:rPr>
          <w:i/>
          <w:iCs/>
        </w:rPr>
        <w:t xml:space="preserve">Nedávno schválená důchodová reforma je krokem správným směrem, i když jde spíše o menší úpravy než o skutečnou reformu. </w:t>
      </w:r>
      <w:r w:rsidR="00281436" w:rsidRPr="001F7059">
        <w:rPr>
          <w:i/>
          <w:iCs/>
        </w:rPr>
        <w:t>Pro skutečnou udržitelnost důchodového systému j</w:t>
      </w:r>
      <w:r w:rsidR="00B9487E" w:rsidRPr="001F7059">
        <w:rPr>
          <w:i/>
          <w:iCs/>
        </w:rPr>
        <w:t xml:space="preserve">e nezbytné přijmout radikálnější opatření. Jedním z těchto kroků je přesun </w:t>
      </w:r>
      <w:r w:rsidR="002E0232">
        <w:rPr>
          <w:i/>
          <w:iCs/>
        </w:rPr>
        <w:t xml:space="preserve">větší </w:t>
      </w:r>
      <w:r w:rsidR="00B9487E" w:rsidRPr="001F7059">
        <w:rPr>
          <w:i/>
          <w:iCs/>
        </w:rPr>
        <w:t xml:space="preserve">odpovědnosti za šetření na důchod na občany. </w:t>
      </w:r>
      <w:r w:rsidR="009C17AA">
        <w:rPr>
          <w:i/>
        </w:rPr>
        <w:t xml:space="preserve">Tento krok by měl jít ruku v ruce se státní podporou, aby lidé měli o důvod navíc si na důchod </w:t>
      </w:r>
      <w:sdt>
        <w:sdtPr>
          <w:tag w:val="goog_rdk_5"/>
          <w:id w:val="1470470252"/>
        </w:sdtPr>
        <w:sdtContent/>
      </w:sdt>
      <w:r w:rsidR="002820CF">
        <w:rPr>
          <w:i/>
        </w:rPr>
        <w:t>investovat</w:t>
      </w:r>
      <w:r w:rsidR="009C17AA">
        <w:rPr>
          <w:i/>
        </w:rPr>
        <w:t xml:space="preserve"> sami</w:t>
      </w:r>
      <w:r>
        <w:rPr>
          <w:i/>
          <w:iCs/>
        </w:rPr>
        <w:t>,“</w:t>
      </w:r>
      <w:r>
        <w:t xml:space="preserve"> uvádí Jiří Fajt, investiční specialista </w:t>
      </w:r>
      <w:r w:rsidR="0091014A">
        <w:t xml:space="preserve">ze </w:t>
      </w:r>
      <w:r>
        <w:t>společnosti FinGO.</w:t>
      </w:r>
    </w:p>
    <w:p w14:paraId="6459C67A" w14:textId="77777777" w:rsidR="00B9487E" w:rsidRPr="0093738F" w:rsidRDefault="00B9487E" w:rsidP="00B9487E">
      <w:pPr>
        <w:rPr>
          <w:b/>
          <w:bCs/>
        </w:rPr>
      </w:pPr>
      <w:r w:rsidRPr="0093738F">
        <w:rPr>
          <w:b/>
          <w:bCs/>
        </w:rPr>
        <w:t>Přesun odpovědnosti na občany</w:t>
      </w:r>
    </w:p>
    <w:p w14:paraId="0446B0E7" w14:textId="78DA4262" w:rsidR="00013920" w:rsidRDefault="003107A0" w:rsidP="00B9487E">
      <w:r>
        <w:t>Vzhledem ke stavu veřejných financí se státu nelze divit</w:t>
      </w:r>
      <w:r w:rsidR="00B9487E" w:rsidRPr="0093738F">
        <w:t xml:space="preserve">, že část odpovědnosti za důchodové zabezpečení přesouvá na </w:t>
      </w:r>
      <w:r w:rsidR="00B9487E">
        <w:t>občany</w:t>
      </w:r>
      <w:r w:rsidR="00B9487E" w:rsidRPr="0093738F">
        <w:t xml:space="preserve">. </w:t>
      </w:r>
      <w:r w:rsidR="00935C1E">
        <w:t>Pozitivní na tom je,</w:t>
      </w:r>
      <w:r w:rsidR="00B9487E" w:rsidRPr="0093738F">
        <w:t xml:space="preserve"> </w:t>
      </w:r>
      <w:r w:rsidR="00935C1E">
        <w:t>že</w:t>
      </w:r>
      <w:r w:rsidR="00B9487E" w:rsidRPr="0093738F">
        <w:t xml:space="preserve"> </w:t>
      </w:r>
      <w:r w:rsidR="00935C1E">
        <w:t>bude každý člověk</w:t>
      </w:r>
      <w:r w:rsidR="00B9487E" w:rsidRPr="0093738F">
        <w:t xml:space="preserve"> mít vlastní finanční budoucnost pod kontrolou. Důchodová reforma neznamená, že v budoucnu nebudeme mít žádný důchod, ale že se bude měnit poměr mezi důchody a průměrnou mzdou. V současnosti jsou důchodci nejbohatší ve vztahu k hrubé mzdě, ale reálná hodnota důchodů bude v budoucnu klesat.</w:t>
      </w:r>
    </w:p>
    <w:p w14:paraId="622C8EA4" w14:textId="1C1AA9A8" w:rsidR="00B9487E" w:rsidRPr="00BB0BFA" w:rsidRDefault="00A63137" w:rsidP="00B9487E">
      <w:r w:rsidRPr="00A63137">
        <w:rPr>
          <w:i/>
          <w:iCs/>
        </w:rPr>
        <w:lastRenderedPageBreak/>
        <w:t>„</w:t>
      </w:r>
      <w:r w:rsidR="00B9487E" w:rsidRPr="00A63137">
        <w:rPr>
          <w:i/>
          <w:iCs/>
        </w:rPr>
        <w:t>Všichni nějaký důchod mít budeme</w:t>
      </w:r>
      <w:r w:rsidR="00013920" w:rsidRPr="00A63137">
        <w:rPr>
          <w:i/>
          <w:iCs/>
        </w:rPr>
        <w:t xml:space="preserve">, dokonce bude nominálně vyšší než důchody současné. </w:t>
      </w:r>
      <w:r w:rsidR="00B9487E" w:rsidRPr="00A63137">
        <w:rPr>
          <w:i/>
          <w:iCs/>
        </w:rPr>
        <w:t xml:space="preserve">Momentálně jsou starobní důchodci v poměru k hrubé mzdě nejbohatší, co kdy byli, přibližně 55 </w:t>
      </w:r>
      <w:r>
        <w:rPr>
          <w:i/>
          <w:iCs/>
        </w:rPr>
        <w:t>procent</w:t>
      </w:r>
      <w:r w:rsidR="00B9487E" w:rsidRPr="00A63137">
        <w:rPr>
          <w:i/>
          <w:iCs/>
        </w:rPr>
        <w:t xml:space="preserve"> k hrubé mzdě</w:t>
      </w:r>
      <w:r>
        <w:rPr>
          <w:i/>
          <w:iCs/>
        </w:rPr>
        <w:t>.</w:t>
      </w:r>
      <w:r w:rsidR="00B9487E" w:rsidRPr="00A63137">
        <w:rPr>
          <w:i/>
          <w:iCs/>
        </w:rPr>
        <w:t xml:space="preserve"> </w:t>
      </w:r>
      <w:r>
        <w:rPr>
          <w:i/>
          <w:iCs/>
        </w:rPr>
        <w:t>K</w:t>
      </w:r>
      <w:r w:rsidR="00B9487E" w:rsidRPr="00A63137">
        <w:rPr>
          <w:i/>
          <w:iCs/>
        </w:rPr>
        <w:t xml:space="preserve"> čisté mzdě je poměr samozřejmě jiný, okolo 60 </w:t>
      </w:r>
      <w:r>
        <w:rPr>
          <w:i/>
          <w:iCs/>
        </w:rPr>
        <w:t>procent</w:t>
      </w:r>
      <w:r w:rsidR="00B9487E" w:rsidRPr="00A63137">
        <w:rPr>
          <w:i/>
          <w:iCs/>
        </w:rPr>
        <w:t>. Důchody tedy nominálně porostou neustále, ale reálně budou klesat</w:t>
      </w:r>
      <w:r w:rsidR="00BB0BFA">
        <w:rPr>
          <w:i/>
          <w:iCs/>
        </w:rPr>
        <w:t>,</w:t>
      </w:r>
      <w:r w:rsidRPr="00A63137">
        <w:rPr>
          <w:i/>
          <w:iCs/>
        </w:rPr>
        <w:t>“</w:t>
      </w:r>
      <w:r w:rsidR="00BB0BFA">
        <w:t xml:space="preserve"> pokračuje Jiří Fajt.</w:t>
      </w:r>
    </w:p>
    <w:p w14:paraId="626907D6" w14:textId="37310B05" w:rsidR="00B9487E" w:rsidRPr="0093738F" w:rsidRDefault="00B9487E" w:rsidP="00B9487E">
      <w:pPr>
        <w:rPr>
          <w:b/>
          <w:bCs/>
        </w:rPr>
      </w:pPr>
      <w:r w:rsidRPr="0093738F">
        <w:rPr>
          <w:b/>
          <w:bCs/>
        </w:rPr>
        <w:t>Jak se na důchod správně finančně připravit?</w:t>
      </w:r>
    </w:p>
    <w:p w14:paraId="725E89E9" w14:textId="77777777" w:rsidR="00B9487E" w:rsidRPr="0093738F" w:rsidRDefault="00B9487E" w:rsidP="00B9487E">
      <w:r w:rsidRPr="0093738F">
        <w:t>Finanční zabezpečení na důchod by mělo být prioritou pro každého. Zde je několik klíčových kroků, jak se na důchod připravit:</w:t>
      </w:r>
    </w:p>
    <w:p w14:paraId="2FDDA270" w14:textId="77777777" w:rsidR="00B9487E" w:rsidRPr="0093738F" w:rsidRDefault="00B9487E" w:rsidP="00B9487E">
      <w:pPr>
        <w:numPr>
          <w:ilvl w:val="0"/>
          <w:numId w:val="8"/>
        </w:numPr>
        <w:jc w:val="left"/>
      </w:pPr>
      <w:r w:rsidRPr="0093738F">
        <w:rPr>
          <w:b/>
          <w:bCs/>
        </w:rPr>
        <w:t>Začněte plánovat co nejdříve</w:t>
      </w:r>
      <w:r w:rsidRPr="0093738F">
        <w:t>: Čím dříve začnete investovat, tím lépe. I malá, pravidelně investovaná částka může díky složenému úročení narůst na významnou sumu.</w:t>
      </w:r>
    </w:p>
    <w:p w14:paraId="64AD60A7" w14:textId="77777777" w:rsidR="00B9487E" w:rsidRPr="0093738F" w:rsidRDefault="00B9487E" w:rsidP="00B9487E">
      <w:pPr>
        <w:numPr>
          <w:ilvl w:val="0"/>
          <w:numId w:val="8"/>
        </w:numPr>
        <w:jc w:val="left"/>
      </w:pPr>
      <w:r w:rsidRPr="0093738F">
        <w:rPr>
          <w:b/>
          <w:bCs/>
        </w:rPr>
        <w:t>Myslete na správnou alokaci a diverzifikaci</w:t>
      </w:r>
      <w:r w:rsidRPr="0093738F">
        <w:t>: Nespoléhejte se pouze na jeden typ investice. Rozložení prostředků do různých investičních nástrojů může snížit riziko a zvýšit šance na dosažení požadovaného výnosu.</w:t>
      </w:r>
    </w:p>
    <w:p w14:paraId="6A61C8D2" w14:textId="77777777" w:rsidR="00B9487E" w:rsidRPr="0093738F" w:rsidRDefault="00B9487E" w:rsidP="00B9487E">
      <w:pPr>
        <w:numPr>
          <w:ilvl w:val="0"/>
          <w:numId w:val="8"/>
        </w:numPr>
        <w:jc w:val="left"/>
      </w:pPr>
      <w:r w:rsidRPr="0093738F">
        <w:rPr>
          <w:b/>
          <w:bCs/>
        </w:rPr>
        <w:t>Udržujte si přehled o svých investicích a rebalancujte</w:t>
      </w:r>
      <w:r w:rsidRPr="0093738F">
        <w:t>: Pravidelně sledujte své finanční portfolio a přizpůsobujte ho své osobní situaci.</w:t>
      </w:r>
    </w:p>
    <w:p w14:paraId="44621E8B" w14:textId="77777777" w:rsidR="00B9487E" w:rsidRPr="0093738F" w:rsidRDefault="00B9487E" w:rsidP="00B9487E">
      <w:pPr>
        <w:numPr>
          <w:ilvl w:val="0"/>
          <w:numId w:val="8"/>
        </w:numPr>
        <w:jc w:val="left"/>
      </w:pPr>
      <w:r w:rsidRPr="0093738F">
        <w:rPr>
          <w:b/>
          <w:bCs/>
        </w:rPr>
        <w:t>Snižte riziko a využijte sílu životního pojištění</w:t>
      </w:r>
      <w:r w:rsidRPr="0093738F">
        <w:t>: Životní pojištění může poskytnout finanční jistotu v případě neočekávaných událostí a ochránit vaše investice určené na důchod.</w:t>
      </w:r>
    </w:p>
    <w:p w14:paraId="033A96D0" w14:textId="77777777" w:rsidR="00B9487E" w:rsidRPr="0093738F" w:rsidRDefault="00B9487E" w:rsidP="00B9487E">
      <w:pPr>
        <w:numPr>
          <w:ilvl w:val="0"/>
          <w:numId w:val="8"/>
        </w:numPr>
        <w:jc w:val="left"/>
      </w:pPr>
      <w:r w:rsidRPr="0093738F">
        <w:rPr>
          <w:b/>
          <w:bCs/>
        </w:rPr>
        <w:t>Sledujte inflaci a snažte se ji porazit</w:t>
      </w:r>
      <w:r w:rsidRPr="0093738F">
        <w:t>: Investice by měly zajišťovat reálný výnos, tedy takový, který překoná inflaci.</w:t>
      </w:r>
    </w:p>
    <w:p w14:paraId="79B854A5" w14:textId="77777777" w:rsidR="00B9487E" w:rsidRPr="0093738F" w:rsidRDefault="00B9487E" w:rsidP="00B9487E">
      <w:pPr>
        <w:numPr>
          <w:ilvl w:val="0"/>
          <w:numId w:val="8"/>
        </w:numPr>
        <w:jc w:val="left"/>
      </w:pPr>
      <w:r w:rsidRPr="0093738F">
        <w:rPr>
          <w:b/>
          <w:bCs/>
        </w:rPr>
        <w:t>Využijte výhody státem podporovaných produktů</w:t>
      </w:r>
      <w:r w:rsidRPr="0093738F">
        <w:t>: Doplňkové penzijní spoření a dlouhodobý investiční produkt nabízejí výhody v podobě státních příspěvků, daňových úlev a příspěvků zaměstnavatele.</w:t>
      </w:r>
    </w:p>
    <w:p w14:paraId="2F9428CB" w14:textId="77777777" w:rsidR="00B9487E" w:rsidRPr="0093738F" w:rsidRDefault="00B9487E" w:rsidP="00B9487E">
      <w:pPr>
        <w:numPr>
          <w:ilvl w:val="0"/>
          <w:numId w:val="8"/>
        </w:numPr>
        <w:jc w:val="left"/>
      </w:pPr>
      <w:r w:rsidRPr="0093738F">
        <w:rPr>
          <w:b/>
          <w:bCs/>
        </w:rPr>
        <w:t>Vyhledejte odbornou radu</w:t>
      </w:r>
      <w:r w:rsidRPr="0093738F">
        <w:t>: Konzultace s finančním poradcem může být velmi užitečná při sestavování efektivního investičního plánu.</w:t>
      </w:r>
    </w:p>
    <w:p w14:paraId="66655084" w14:textId="255EA4C7" w:rsidR="00712072" w:rsidRPr="005237C1" w:rsidRDefault="00B9487E" w:rsidP="00C00401">
      <w:r w:rsidRPr="0093738F">
        <w:t xml:space="preserve">Důchodový systém v České republice vyžaduje rychlé a efektivní řešení. Přesun odpovědnosti za šetření na důchod na občany, </w:t>
      </w:r>
      <w:r w:rsidR="00FA6D56">
        <w:t>doprovázený</w:t>
      </w:r>
      <w:r w:rsidRPr="0093738F">
        <w:t xml:space="preserve"> </w:t>
      </w:r>
      <w:r w:rsidR="00FA6D56">
        <w:t>podporou</w:t>
      </w:r>
      <w:r w:rsidR="00003E76">
        <w:t xml:space="preserve"> ze strany státu</w:t>
      </w:r>
      <w:r w:rsidRPr="0093738F">
        <w:t>, může být klíčovým krokem k udržitelnosti důchodového systému. Je důležité, aby každý z nás přijal zodpovědnost za svou finanční budoucnost a aktivně se zapojil do investování na důchod.</w:t>
      </w:r>
    </w:p>
    <w:p w14:paraId="6F448777" w14:textId="77777777" w:rsidR="0029337C" w:rsidRDefault="0029337C" w:rsidP="00C00401">
      <w:pPr>
        <w:rPr>
          <w:rFonts w:cs="Open Sans"/>
          <w:b/>
          <w:bCs/>
          <w:i/>
          <w:iCs/>
          <w:sz w:val="20"/>
          <w:szCs w:val="20"/>
        </w:rPr>
      </w:pPr>
    </w:p>
    <w:p w14:paraId="57CEC546" w14:textId="6AD7AE3F" w:rsidR="00712072" w:rsidRPr="005237C1" w:rsidRDefault="00712072" w:rsidP="00C00401">
      <w:pPr>
        <w:rPr>
          <w:rFonts w:cs="Open Sans"/>
          <w:b/>
          <w:bCs/>
          <w:i/>
          <w:iCs/>
          <w:sz w:val="20"/>
          <w:szCs w:val="20"/>
        </w:rPr>
      </w:pPr>
      <w:r w:rsidRPr="005237C1">
        <w:rPr>
          <w:rFonts w:cs="Open Sans"/>
          <w:b/>
          <w:bCs/>
          <w:i/>
          <w:iCs/>
          <w:sz w:val="20"/>
          <w:szCs w:val="20"/>
        </w:rPr>
        <w:t>O společnosti FinGO:</w:t>
      </w:r>
    </w:p>
    <w:p w14:paraId="3272E8CB" w14:textId="77777777" w:rsidR="00712072" w:rsidRPr="0085622D" w:rsidRDefault="00712072" w:rsidP="00C00401">
      <w:pPr>
        <w:rPr>
          <w:rFonts w:cs="Open Sans"/>
          <w:i/>
          <w:iCs/>
          <w:sz w:val="20"/>
          <w:szCs w:val="20"/>
        </w:rPr>
      </w:pPr>
      <w:r w:rsidRPr="0085622D">
        <w:rPr>
          <w:rFonts w:cs="Open Sans"/>
          <w:i/>
          <w:iCs/>
          <w:sz w:val="20"/>
          <w:szCs w:val="20"/>
        </w:rPr>
        <w:t xml:space="preserve">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w:t>
      </w:r>
      <w:r w:rsidRPr="0085622D">
        <w:rPr>
          <w:rFonts w:cs="Open Sans"/>
          <w:i/>
          <w:iCs/>
          <w:sz w:val="20"/>
          <w:szCs w:val="20"/>
        </w:rPr>
        <w:lastRenderedPageBreak/>
        <w:t>rostla nejrychleji ze všech.  Významný podíl produkce FinGO.cz pochází z online příležitostí, které společnost sama vytváří pro své vázané zástupce.</w:t>
      </w:r>
    </w:p>
    <w:p w14:paraId="6FEFC148" w14:textId="6F808B3E" w:rsidR="0096059C" w:rsidRPr="0085622D" w:rsidRDefault="00640C88" w:rsidP="00C00401">
      <w:pPr>
        <w:rPr>
          <w:rFonts w:cs="Open Sans"/>
          <w:i/>
          <w:iCs/>
          <w:sz w:val="20"/>
          <w:szCs w:val="20"/>
        </w:rPr>
      </w:pPr>
      <w:r w:rsidRPr="0085622D">
        <w:rPr>
          <w:rFonts w:cs="Open Sans"/>
          <w:noProof/>
        </w:rPr>
        <w:drawing>
          <wp:anchor distT="0" distB="0" distL="114300" distR="114300" simplePos="0" relativeHeight="251665408" behindDoc="0" locked="0" layoutInCell="1" allowOverlap="1" wp14:anchorId="5942909A" wp14:editId="541BB038">
            <wp:simplePos x="0" y="0"/>
            <wp:positionH relativeFrom="margin">
              <wp:posOffset>5693410</wp:posOffset>
            </wp:positionH>
            <wp:positionV relativeFrom="paragraph">
              <wp:posOffset>1660525</wp:posOffset>
            </wp:positionV>
            <wp:extent cx="572135" cy="431800"/>
            <wp:effectExtent l="0" t="0" r="0" b="6350"/>
            <wp:wrapSquare wrapText="bothSides"/>
            <wp:docPr id="1430303569" name="Obráze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3360" behindDoc="0" locked="0" layoutInCell="1" allowOverlap="1" wp14:anchorId="53045D19" wp14:editId="2E564BD3">
            <wp:simplePos x="0" y="0"/>
            <wp:positionH relativeFrom="column">
              <wp:posOffset>5053330</wp:posOffset>
            </wp:positionH>
            <wp:positionV relativeFrom="paragraph">
              <wp:posOffset>1660525</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61312" behindDoc="0" locked="0" layoutInCell="1" allowOverlap="1" wp14:anchorId="334490BB" wp14:editId="29A2D813">
            <wp:simplePos x="0" y="0"/>
            <wp:positionH relativeFrom="margin">
              <wp:posOffset>4265930</wp:posOffset>
            </wp:positionH>
            <wp:positionV relativeFrom="paragraph">
              <wp:posOffset>1655445</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85622D">
        <w:rPr>
          <w:rFonts w:cs="Open Sans"/>
          <w:noProof/>
        </w:rPr>
        <w:drawing>
          <wp:anchor distT="0" distB="0" distL="114300" distR="114300" simplePos="0" relativeHeight="251659264" behindDoc="0" locked="0" layoutInCell="1" allowOverlap="1" wp14:anchorId="5BD6DE5E" wp14:editId="24EA21E6">
            <wp:simplePos x="0" y="0"/>
            <wp:positionH relativeFrom="margin">
              <wp:posOffset>3815080</wp:posOffset>
            </wp:positionH>
            <wp:positionV relativeFrom="paragraph">
              <wp:posOffset>1655445</wp:posOffset>
            </wp:positionV>
            <wp:extent cx="460375" cy="431800"/>
            <wp:effectExtent l="0" t="0" r="0" b="6350"/>
            <wp:wrapSquare wrapText="bothSides"/>
            <wp:docPr id="2096601148" name="Obráze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85622D">
        <w:rPr>
          <w:rFonts w:cs="Open Sans"/>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sectPr w:rsidR="0096059C" w:rsidRPr="0085622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DAD29" w14:textId="77777777" w:rsidR="00E43D1A" w:rsidRDefault="00E43D1A" w:rsidP="00C00401">
      <w:r>
        <w:separator/>
      </w:r>
    </w:p>
  </w:endnote>
  <w:endnote w:type="continuationSeparator" w:id="0">
    <w:p w14:paraId="1FA481C0" w14:textId="77777777" w:rsidR="00E43D1A" w:rsidRDefault="00E43D1A"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661A2" w14:textId="77777777" w:rsidR="00E43D1A" w:rsidRDefault="00E43D1A" w:rsidP="00C00401">
      <w:r>
        <w:separator/>
      </w:r>
    </w:p>
  </w:footnote>
  <w:footnote w:type="continuationSeparator" w:id="0">
    <w:p w14:paraId="2721294F" w14:textId="77777777" w:rsidR="00E43D1A" w:rsidRDefault="00E43D1A"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6F37"/>
    <w:multiLevelType w:val="multilevel"/>
    <w:tmpl w:val="D6BC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7135C"/>
    <w:multiLevelType w:val="hybridMultilevel"/>
    <w:tmpl w:val="88DC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3438E0"/>
    <w:multiLevelType w:val="multilevel"/>
    <w:tmpl w:val="33581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C5539"/>
    <w:multiLevelType w:val="multilevel"/>
    <w:tmpl w:val="6A662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BD040F"/>
    <w:multiLevelType w:val="multilevel"/>
    <w:tmpl w:val="D038A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3E032A"/>
    <w:multiLevelType w:val="multilevel"/>
    <w:tmpl w:val="45FA1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AA0531"/>
    <w:multiLevelType w:val="multilevel"/>
    <w:tmpl w:val="B1A45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2757161">
    <w:abstractNumId w:val="7"/>
  </w:num>
  <w:num w:numId="2" w16cid:durableId="363099003">
    <w:abstractNumId w:val="1"/>
  </w:num>
  <w:num w:numId="3" w16cid:durableId="1533155299">
    <w:abstractNumId w:val="5"/>
  </w:num>
  <w:num w:numId="4" w16cid:durableId="1809980726">
    <w:abstractNumId w:val="6"/>
  </w:num>
  <w:num w:numId="5" w16cid:durableId="1958484008">
    <w:abstractNumId w:val="4"/>
  </w:num>
  <w:num w:numId="6" w16cid:durableId="854686921">
    <w:abstractNumId w:val="2"/>
  </w:num>
  <w:num w:numId="7" w16cid:durableId="1984118866">
    <w:abstractNumId w:val="3"/>
  </w:num>
  <w:num w:numId="8" w16cid:durableId="340671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3E76"/>
    <w:rsid w:val="00004410"/>
    <w:rsid w:val="000073D8"/>
    <w:rsid w:val="00010B20"/>
    <w:rsid w:val="00013920"/>
    <w:rsid w:val="00013C72"/>
    <w:rsid w:val="000232BB"/>
    <w:rsid w:val="00027827"/>
    <w:rsid w:val="000460C4"/>
    <w:rsid w:val="00052C56"/>
    <w:rsid w:val="00055F53"/>
    <w:rsid w:val="00065953"/>
    <w:rsid w:val="00073C2D"/>
    <w:rsid w:val="00076806"/>
    <w:rsid w:val="00083A38"/>
    <w:rsid w:val="00085FBE"/>
    <w:rsid w:val="00092FF4"/>
    <w:rsid w:val="00094ABB"/>
    <w:rsid w:val="000962CF"/>
    <w:rsid w:val="00096A89"/>
    <w:rsid w:val="000970DD"/>
    <w:rsid w:val="000B0146"/>
    <w:rsid w:val="000B1D4B"/>
    <w:rsid w:val="000B6269"/>
    <w:rsid w:val="000D1BEF"/>
    <w:rsid w:val="000D2673"/>
    <w:rsid w:val="000D6D02"/>
    <w:rsid w:val="000E0D1B"/>
    <w:rsid w:val="000E5A63"/>
    <w:rsid w:val="000E603B"/>
    <w:rsid w:val="0010033D"/>
    <w:rsid w:val="001036E9"/>
    <w:rsid w:val="001079DE"/>
    <w:rsid w:val="00114A22"/>
    <w:rsid w:val="00136991"/>
    <w:rsid w:val="00141690"/>
    <w:rsid w:val="00145A00"/>
    <w:rsid w:val="00151752"/>
    <w:rsid w:val="00154A71"/>
    <w:rsid w:val="00155502"/>
    <w:rsid w:val="00160E3C"/>
    <w:rsid w:val="001653DF"/>
    <w:rsid w:val="001726F3"/>
    <w:rsid w:val="0017389C"/>
    <w:rsid w:val="00180E6A"/>
    <w:rsid w:val="0019198A"/>
    <w:rsid w:val="001A1E3F"/>
    <w:rsid w:val="001A2107"/>
    <w:rsid w:val="001A21A3"/>
    <w:rsid w:val="001B4EA0"/>
    <w:rsid w:val="001C1F70"/>
    <w:rsid w:val="001C7637"/>
    <w:rsid w:val="001D36DC"/>
    <w:rsid w:val="001D588D"/>
    <w:rsid w:val="001E30CC"/>
    <w:rsid w:val="001E6AB9"/>
    <w:rsid w:val="001E7717"/>
    <w:rsid w:val="001F3BEA"/>
    <w:rsid w:val="001F7059"/>
    <w:rsid w:val="002049BE"/>
    <w:rsid w:val="00204ED4"/>
    <w:rsid w:val="00205CB2"/>
    <w:rsid w:val="00217E22"/>
    <w:rsid w:val="00222C93"/>
    <w:rsid w:val="00233E02"/>
    <w:rsid w:val="00245AAA"/>
    <w:rsid w:val="0025163A"/>
    <w:rsid w:val="00274D63"/>
    <w:rsid w:val="00280C2B"/>
    <w:rsid w:val="00281436"/>
    <w:rsid w:val="002820CF"/>
    <w:rsid w:val="00283CFC"/>
    <w:rsid w:val="00284142"/>
    <w:rsid w:val="00287DF5"/>
    <w:rsid w:val="00291B6E"/>
    <w:rsid w:val="0029337C"/>
    <w:rsid w:val="002A1B55"/>
    <w:rsid w:val="002A62CB"/>
    <w:rsid w:val="002C382A"/>
    <w:rsid w:val="002E0232"/>
    <w:rsid w:val="002E7AE6"/>
    <w:rsid w:val="002F5FAF"/>
    <w:rsid w:val="00306401"/>
    <w:rsid w:val="003107A0"/>
    <w:rsid w:val="00317670"/>
    <w:rsid w:val="00320C20"/>
    <w:rsid w:val="003679BA"/>
    <w:rsid w:val="003760BD"/>
    <w:rsid w:val="00377849"/>
    <w:rsid w:val="00380ED4"/>
    <w:rsid w:val="00381847"/>
    <w:rsid w:val="0038225D"/>
    <w:rsid w:val="0038493D"/>
    <w:rsid w:val="003A04E7"/>
    <w:rsid w:val="003A6C97"/>
    <w:rsid w:val="003B238C"/>
    <w:rsid w:val="003B23D1"/>
    <w:rsid w:val="003B276A"/>
    <w:rsid w:val="003C055C"/>
    <w:rsid w:val="003C7DD3"/>
    <w:rsid w:val="003E1DFE"/>
    <w:rsid w:val="003E5D6E"/>
    <w:rsid w:val="003E5D7F"/>
    <w:rsid w:val="003F20AC"/>
    <w:rsid w:val="00412C78"/>
    <w:rsid w:val="00414E7C"/>
    <w:rsid w:val="004212BB"/>
    <w:rsid w:val="00423B80"/>
    <w:rsid w:val="00435F26"/>
    <w:rsid w:val="00436084"/>
    <w:rsid w:val="004550AD"/>
    <w:rsid w:val="00465D61"/>
    <w:rsid w:val="00466237"/>
    <w:rsid w:val="004741F4"/>
    <w:rsid w:val="00475A28"/>
    <w:rsid w:val="00480C54"/>
    <w:rsid w:val="004866AD"/>
    <w:rsid w:val="004877F4"/>
    <w:rsid w:val="004907BA"/>
    <w:rsid w:val="004A214F"/>
    <w:rsid w:val="004B7137"/>
    <w:rsid w:val="004D0F7F"/>
    <w:rsid w:val="004F2B8F"/>
    <w:rsid w:val="005002F0"/>
    <w:rsid w:val="0051109E"/>
    <w:rsid w:val="00523422"/>
    <w:rsid w:val="005237C1"/>
    <w:rsid w:val="00523961"/>
    <w:rsid w:val="0053764C"/>
    <w:rsid w:val="00542979"/>
    <w:rsid w:val="0055794D"/>
    <w:rsid w:val="00577EEE"/>
    <w:rsid w:val="00581AC6"/>
    <w:rsid w:val="00583C0E"/>
    <w:rsid w:val="00585167"/>
    <w:rsid w:val="005936A5"/>
    <w:rsid w:val="005970E4"/>
    <w:rsid w:val="005A3AF4"/>
    <w:rsid w:val="005A4358"/>
    <w:rsid w:val="005A67FF"/>
    <w:rsid w:val="005B2544"/>
    <w:rsid w:val="005C43E7"/>
    <w:rsid w:val="005D5F6D"/>
    <w:rsid w:val="005E2C7A"/>
    <w:rsid w:val="005E3B20"/>
    <w:rsid w:val="00601121"/>
    <w:rsid w:val="006012BD"/>
    <w:rsid w:val="0060356E"/>
    <w:rsid w:val="00605586"/>
    <w:rsid w:val="006102A2"/>
    <w:rsid w:val="006258AB"/>
    <w:rsid w:val="00625B6D"/>
    <w:rsid w:val="00633335"/>
    <w:rsid w:val="00640BEE"/>
    <w:rsid w:val="00640C88"/>
    <w:rsid w:val="00656617"/>
    <w:rsid w:val="006703ED"/>
    <w:rsid w:val="00671152"/>
    <w:rsid w:val="0068301F"/>
    <w:rsid w:val="00690A80"/>
    <w:rsid w:val="006A1252"/>
    <w:rsid w:val="006A1663"/>
    <w:rsid w:val="006A6E08"/>
    <w:rsid w:val="006B3147"/>
    <w:rsid w:val="006B5CF3"/>
    <w:rsid w:val="006C0694"/>
    <w:rsid w:val="006C1B41"/>
    <w:rsid w:val="006E290E"/>
    <w:rsid w:val="006F1D3A"/>
    <w:rsid w:val="006F2B8E"/>
    <w:rsid w:val="006F59BC"/>
    <w:rsid w:val="00712072"/>
    <w:rsid w:val="00714664"/>
    <w:rsid w:val="0071539D"/>
    <w:rsid w:val="0071584B"/>
    <w:rsid w:val="007211E6"/>
    <w:rsid w:val="00727AAB"/>
    <w:rsid w:val="0073629A"/>
    <w:rsid w:val="00737B21"/>
    <w:rsid w:val="00740EB7"/>
    <w:rsid w:val="007447AA"/>
    <w:rsid w:val="007570DA"/>
    <w:rsid w:val="00775798"/>
    <w:rsid w:val="007774BA"/>
    <w:rsid w:val="00787BE3"/>
    <w:rsid w:val="00792601"/>
    <w:rsid w:val="0079453F"/>
    <w:rsid w:val="00795BB7"/>
    <w:rsid w:val="00797A44"/>
    <w:rsid w:val="0079C103"/>
    <w:rsid w:val="007A0EAA"/>
    <w:rsid w:val="007A5EA9"/>
    <w:rsid w:val="007A6DF6"/>
    <w:rsid w:val="007B0B03"/>
    <w:rsid w:val="007B3ED2"/>
    <w:rsid w:val="007C6788"/>
    <w:rsid w:val="007D4412"/>
    <w:rsid w:val="007D7647"/>
    <w:rsid w:val="007F06C6"/>
    <w:rsid w:val="007F4550"/>
    <w:rsid w:val="007F468D"/>
    <w:rsid w:val="00802969"/>
    <w:rsid w:val="00803EB2"/>
    <w:rsid w:val="00807679"/>
    <w:rsid w:val="008118A6"/>
    <w:rsid w:val="00820CD5"/>
    <w:rsid w:val="008210F1"/>
    <w:rsid w:val="00824738"/>
    <w:rsid w:val="008316B2"/>
    <w:rsid w:val="008339F9"/>
    <w:rsid w:val="00835FA4"/>
    <w:rsid w:val="0083624C"/>
    <w:rsid w:val="0083675C"/>
    <w:rsid w:val="008435B7"/>
    <w:rsid w:val="008463DB"/>
    <w:rsid w:val="00851DFC"/>
    <w:rsid w:val="0085444E"/>
    <w:rsid w:val="00855AD1"/>
    <w:rsid w:val="0085622D"/>
    <w:rsid w:val="008575AC"/>
    <w:rsid w:val="008632A4"/>
    <w:rsid w:val="00863DB8"/>
    <w:rsid w:val="008725ED"/>
    <w:rsid w:val="008769C2"/>
    <w:rsid w:val="00893CF1"/>
    <w:rsid w:val="00896196"/>
    <w:rsid w:val="0089657F"/>
    <w:rsid w:val="008A6C2D"/>
    <w:rsid w:val="008B182D"/>
    <w:rsid w:val="008B3101"/>
    <w:rsid w:val="008B76D7"/>
    <w:rsid w:val="008C48CC"/>
    <w:rsid w:val="008D3FFC"/>
    <w:rsid w:val="008D6D4E"/>
    <w:rsid w:val="008D6DA3"/>
    <w:rsid w:val="008E1465"/>
    <w:rsid w:val="008E3EA0"/>
    <w:rsid w:val="008E4261"/>
    <w:rsid w:val="008E5C9F"/>
    <w:rsid w:val="008F1B78"/>
    <w:rsid w:val="008F4BB2"/>
    <w:rsid w:val="008F7DD5"/>
    <w:rsid w:val="009006D4"/>
    <w:rsid w:val="00900CC8"/>
    <w:rsid w:val="0090746C"/>
    <w:rsid w:val="0091014A"/>
    <w:rsid w:val="00912EE6"/>
    <w:rsid w:val="009136E9"/>
    <w:rsid w:val="00913811"/>
    <w:rsid w:val="009209B3"/>
    <w:rsid w:val="00921DD5"/>
    <w:rsid w:val="00934AF7"/>
    <w:rsid w:val="00935C1E"/>
    <w:rsid w:val="00940CC0"/>
    <w:rsid w:val="00942094"/>
    <w:rsid w:val="00951667"/>
    <w:rsid w:val="009563F0"/>
    <w:rsid w:val="00957E06"/>
    <w:rsid w:val="0096059C"/>
    <w:rsid w:val="0096146E"/>
    <w:rsid w:val="0096749E"/>
    <w:rsid w:val="009675DB"/>
    <w:rsid w:val="009726B3"/>
    <w:rsid w:val="00977E0B"/>
    <w:rsid w:val="00985B26"/>
    <w:rsid w:val="009868A4"/>
    <w:rsid w:val="0099159B"/>
    <w:rsid w:val="00994C05"/>
    <w:rsid w:val="009A6856"/>
    <w:rsid w:val="009B2515"/>
    <w:rsid w:val="009B404E"/>
    <w:rsid w:val="009B4EE8"/>
    <w:rsid w:val="009B5298"/>
    <w:rsid w:val="009B6497"/>
    <w:rsid w:val="009B7112"/>
    <w:rsid w:val="009C17AA"/>
    <w:rsid w:val="009C33BB"/>
    <w:rsid w:val="009C582A"/>
    <w:rsid w:val="009D3A0E"/>
    <w:rsid w:val="009D782F"/>
    <w:rsid w:val="009E6510"/>
    <w:rsid w:val="009F0F6B"/>
    <w:rsid w:val="00A12266"/>
    <w:rsid w:val="00A25E47"/>
    <w:rsid w:val="00A306EA"/>
    <w:rsid w:val="00A37C88"/>
    <w:rsid w:val="00A44B03"/>
    <w:rsid w:val="00A63137"/>
    <w:rsid w:val="00A64445"/>
    <w:rsid w:val="00A64D2E"/>
    <w:rsid w:val="00A728B2"/>
    <w:rsid w:val="00AA4991"/>
    <w:rsid w:val="00AB0DC6"/>
    <w:rsid w:val="00AB0F6F"/>
    <w:rsid w:val="00AB4F6D"/>
    <w:rsid w:val="00AB5CB4"/>
    <w:rsid w:val="00AC7B69"/>
    <w:rsid w:val="00AD517A"/>
    <w:rsid w:val="00AF0451"/>
    <w:rsid w:val="00AF1D50"/>
    <w:rsid w:val="00AF4940"/>
    <w:rsid w:val="00AF5C3A"/>
    <w:rsid w:val="00B04560"/>
    <w:rsid w:val="00B05318"/>
    <w:rsid w:val="00B07FD3"/>
    <w:rsid w:val="00B13DE2"/>
    <w:rsid w:val="00B164B1"/>
    <w:rsid w:val="00B20DE5"/>
    <w:rsid w:val="00B21DC7"/>
    <w:rsid w:val="00B22509"/>
    <w:rsid w:val="00B33F2B"/>
    <w:rsid w:val="00B33FD7"/>
    <w:rsid w:val="00B417EB"/>
    <w:rsid w:val="00B53C86"/>
    <w:rsid w:val="00B61EF6"/>
    <w:rsid w:val="00B6592C"/>
    <w:rsid w:val="00B73C1A"/>
    <w:rsid w:val="00B75A21"/>
    <w:rsid w:val="00B76FF0"/>
    <w:rsid w:val="00B904E4"/>
    <w:rsid w:val="00B9487E"/>
    <w:rsid w:val="00BA0D1B"/>
    <w:rsid w:val="00BB0BFA"/>
    <w:rsid w:val="00BB4CBA"/>
    <w:rsid w:val="00BB7DEE"/>
    <w:rsid w:val="00BC4964"/>
    <w:rsid w:val="00BC664E"/>
    <w:rsid w:val="00BD0DBD"/>
    <w:rsid w:val="00BE2144"/>
    <w:rsid w:val="00BE3110"/>
    <w:rsid w:val="00BF578E"/>
    <w:rsid w:val="00BF6153"/>
    <w:rsid w:val="00C00401"/>
    <w:rsid w:val="00C0609F"/>
    <w:rsid w:val="00C10D7B"/>
    <w:rsid w:val="00C164FC"/>
    <w:rsid w:val="00C3652F"/>
    <w:rsid w:val="00C37F48"/>
    <w:rsid w:val="00C4358C"/>
    <w:rsid w:val="00C43B7E"/>
    <w:rsid w:val="00C4650D"/>
    <w:rsid w:val="00C4781E"/>
    <w:rsid w:val="00C5060F"/>
    <w:rsid w:val="00C51B36"/>
    <w:rsid w:val="00C52D76"/>
    <w:rsid w:val="00C576E3"/>
    <w:rsid w:val="00C6449E"/>
    <w:rsid w:val="00C6772C"/>
    <w:rsid w:val="00C707E6"/>
    <w:rsid w:val="00C82F07"/>
    <w:rsid w:val="00C872FA"/>
    <w:rsid w:val="00C93FFF"/>
    <w:rsid w:val="00C97907"/>
    <w:rsid w:val="00CA2DF4"/>
    <w:rsid w:val="00CA679E"/>
    <w:rsid w:val="00CB1CEE"/>
    <w:rsid w:val="00CC1AC9"/>
    <w:rsid w:val="00CC4E6E"/>
    <w:rsid w:val="00CD1E58"/>
    <w:rsid w:val="00CD7CB4"/>
    <w:rsid w:val="00CE36CE"/>
    <w:rsid w:val="00CE5399"/>
    <w:rsid w:val="00CF09EA"/>
    <w:rsid w:val="00CF3D71"/>
    <w:rsid w:val="00D0331D"/>
    <w:rsid w:val="00D07D7E"/>
    <w:rsid w:val="00D20C22"/>
    <w:rsid w:val="00D250C7"/>
    <w:rsid w:val="00D35FAC"/>
    <w:rsid w:val="00D525EB"/>
    <w:rsid w:val="00D6706A"/>
    <w:rsid w:val="00D742F3"/>
    <w:rsid w:val="00D76BFE"/>
    <w:rsid w:val="00D773A8"/>
    <w:rsid w:val="00D86F63"/>
    <w:rsid w:val="00DA6606"/>
    <w:rsid w:val="00DA6895"/>
    <w:rsid w:val="00DC040C"/>
    <w:rsid w:val="00DD14F7"/>
    <w:rsid w:val="00DF0E49"/>
    <w:rsid w:val="00DF2E9C"/>
    <w:rsid w:val="00DF5859"/>
    <w:rsid w:val="00E04DD7"/>
    <w:rsid w:val="00E0781B"/>
    <w:rsid w:val="00E07AB6"/>
    <w:rsid w:val="00E1263A"/>
    <w:rsid w:val="00E21E20"/>
    <w:rsid w:val="00E24119"/>
    <w:rsid w:val="00E25385"/>
    <w:rsid w:val="00E34B13"/>
    <w:rsid w:val="00E37F04"/>
    <w:rsid w:val="00E42C22"/>
    <w:rsid w:val="00E43D1A"/>
    <w:rsid w:val="00E47ADA"/>
    <w:rsid w:val="00E50585"/>
    <w:rsid w:val="00E51E8C"/>
    <w:rsid w:val="00E537B6"/>
    <w:rsid w:val="00E57FF2"/>
    <w:rsid w:val="00E733EF"/>
    <w:rsid w:val="00E75A42"/>
    <w:rsid w:val="00E766C4"/>
    <w:rsid w:val="00E82407"/>
    <w:rsid w:val="00E90531"/>
    <w:rsid w:val="00E909D0"/>
    <w:rsid w:val="00EA2FFD"/>
    <w:rsid w:val="00EA3881"/>
    <w:rsid w:val="00EB001C"/>
    <w:rsid w:val="00EB106F"/>
    <w:rsid w:val="00EC1799"/>
    <w:rsid w:val="00EC3B34"/>
    <w:rsid w:val="00ED3218"/>
    <w:rsid w:val="00EE60A2"/>
    <w:rsid w:val="00EF2587"/>
    <w:rsid w:val="00EF569D"/>
    <w:rsid w:val="00F0158F"/>
    <w:rsid w:val="00F13F91"/>
    <w:rsid w:val="00F17089"/>
    <w:rsid w:val="00F17816"/>
    <w:rsid w:val="00F2379E"/>
    <w:rsid w:val="00F32CCA"/>
    <w:rsid w:val="00F33647"/>
    <w:rsid w:val="00F433F5"/>
    <w:rsid w:val="00F43C57"/>
    <w:rsid w:val="00F44CAB"/>
    <w:rsid w:val="00F45BF1"/>
    <w:rsid w:val="00F47D7B"/>
    <w:rsid w:val="00F50622"/>
    <w:rsid w:val="00F5087F"/>
    <w:rsid w:val="00F53CB5"/>
    <w:rsid w:val="00F545C4"/>
    <w:rsid w:val="00F60944"/>
    <w:rsid w:val="00F60A3D"/>
    <w:rsid w:val="00F643F8"/>
    <w:rsid w:val="00F67211"/>
    <w:rsid w:val="00F72A42"/>
    <w:rsid w:val="00F72AE4"/>
    <w:rsid w:val="00F74EC2"/>
    <w:rsid w:val="00F76739"/>
    <w:rsid w:val="00F91AA2"/>
    <w:rsid w:val="00FA6D56"/>
    <w:rsid w:val="00FB2B67"/>
    <w:rsid w:val="00FC23AF"/>
    <w:rsid w:val="00FD1005"/>
    <w:rsid w:val="00FD22E2"/>
    <w:rsid w:val="00FD3481"/>
    <w:rsid w:val="00FD7009"/>
    <w:rsid w:val="00FE09F8"/>
    <w:rsid w:val="00FF299D"/>
    <w:rsid w:val="00FF60A7"/>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C64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108864487">
      <w:bodyDiv w:val="1"/>
      <w:marLeft w:val="0"/>
      <w:marRight w:val="0"/>
      <w:marTop w:val="0"/>
      <w:marBottom w:val="0"/>
      <w:divBdr>
        <w:top w:val="none" w:sz="0" w:space="0" w:color="auto"/>
        <w:left w:val="none" w:sz="0" w:space="0" w:color="auto"/>
        <w:bottom w:val="none" w:sz="0" w:space="0" w:color="auto"/>
        <w:right w:val="none" w:sz="0" w:space="0" w:color="auto"/>
      </w:divBdr>
    </w:div>
    <w:div w:id="134102301">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263999755">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33099179">
      <w:bodyDiv w:val="1"/>
      <w:marLeft w:val="0"/>
      <w:marRight w:val="0"/>
      <w:marTop w:val="0"/>
      <w:marBottom w:val="0"/>
      <w:divBdr>
        <w:top w:val="none" w:sz="0" w:space="0" w:color="auto"/>
        <w:left w:val="none" w:sz="0" w:space="0" w:color="auto"/>
        <w:bottom w:val="none" w:sz="0" w:space="0" w:color="auto"/>
        <w:right w:val="none" w:sz="0" w:space="0" w:color="auto"/>
      </w:divBdr>
      <w:divsChild>
        <w:div w:id="83234551">
          <w:marLeft w:val="0"/>
          <w:marRight w:val="0"/>
          <w:marTop w:val="0"/>
          <w:marBottom w:val="0"/>
          <w:divBdr>
            <w:top w:val="none" w:sz="0" w:space="0" w:color="auto"/>
            <w:left w:val="none" w:sz="0" w:space="0" w:color="auto"/>
            <w:bottom w:val="none" w:sz="0" w:space="0" w:color="auto"/>
            <w:right w:val="none" w:sz="0" w:space="0" w:color="auto"/>
          </w:divBdr>
        </w:div>
      </w:divsChild>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962930125">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159691526">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1542093751">
      <w:bodyDiv w:val="1"/>
      <w:marLeft w:val="0"/>
      <w:marRight w:val="0"/>
      <w:marTop w:val="0"/>
      <w:marBottom w:val="0"/>
      <w:divBdr>
        <w:top w:val="none" w:sz="0" w:space="0" w:color="auto"/>
        <w:left w:val="none" w:sz="0" w:space="0" w:color="auto"/>
        <w:bottom w:val="none" w:sz="0" w:space="0" w:color="auto"/>
        <w:right w:val="none" w:sz="0" w:space="0" w:color="auto"/>
      </w:divBdr>
    </w:div>
    <w:div w:id="1599095215">
      <w:bodyDiv w:val="1"/>
      <w:marLeft w:val="0"/>
      <w:marRight w:val="0"/>
      <w:marTop w:val="0"/>
      <w:marBottom w:val="0"/>
      <w:divBdr>
        <w:top w:val="none" w:sz="0" w:space="0" w:color="auto"/>
        <w:left w:val="none" w:sz="0" w:space="0" w:color="auto"/>
        <w:bottom w:val="none" w:sz="0" w:space="0" w:color="auto"/>
        <w:right w:val="none" w:sz="0" w:space="0" w:color="auto"/>
      </w:divBdr>
    </w:div>
    <w:div w:id="1993867368">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acebook.com/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ingocz3140" TargetMode="External"/><Relationship Id="rId5" Type="http://schemas.openxmlformats.org/officeDocument/2006/relationships/numbering" Target="numbering.xml"/><Relationship Id="rId15" Type="http://schemas.openxmlformats.org/officeDocument/2006/relationships/hyperlink" Target="https://www.linkedin.com/company/fingo-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2.xml><?xml version="1.0" encoding="utf-8"?>
<ds:datastoreItem xmlns:ds="http://schemas.openxmlformats.org/officeDocument/2006/customXml" ds:itemID="{9FBE2309-3517-405E-9025-EFF7B9D6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9</TotalTime>
  <Pages>3</Pages>
  <Words>830</Words>
  <Characters>4902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Knapp</dc:creator>
  <cp:keywords/>
  <dc:description/>
  <cp:lastModifiedBy>Jakub Knapp</cp:lastModifiedBy>
  <cp:revision>12</cp:revision>
  <dcterms:created xsi:type="dcterms:W3CDTF">2024-08-08T09:00:00Z</dcterms:created>
  <dcterms:modified xsi:type="dcterms:W3CDTF">2024-08-09T10:43:00Z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