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59672" w14:textId="7B695042"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Invesco: </w:t>
      </w:r>
      <w:r w:rsidR="00EE0A7C">
        <w:rPr>
          <w:rFonts w:ascii="Invesco Interstate Bold" w:hAnsi="Invesco Interstate Bold"/>
          <w:b/>
          <w:bCs/>
          <w:sz w:val="28"/>
          <w:szCs w:val="28"/>
        </w:rPr>
        <w:t>Proč byla nedávná korekce trhu možná přehnanou reakcí</w:t>
      </w:r>
    </w:p>
    <w:p w14:paraId="02A96697" w14:textId="77777777" w:rsidR="001F6A31" w:rsidRPr="00F26CC7" w:rsidRDefault="001F6A31" w:rsidP="00916408">
      <w:pPr>
        <w:spacing w:before="100" w:beforeAutospacing="1" w:afterAutospacing="1" w:line="240" w:lineRule="auto"/>
        <w:jc w:val="both"/>
        <w:rPr>
          <w:rFonts w:ascii="Invesco Interstate Light" w:eastAsiaTheme="minorEastAsia" w:hAnsi="Invesco Interstate Light"/>
          <w:i/>
          <w:sz w:val="22"/>
          <w:szCs w:val="22"/>
        </w:rPr>
      </w:pPr>
      <w:r w:rsidRPr="00F26CC7">
        <w:rPr>
          <w:rFonts w:ascii="Invesco Interstate Light" w:eastAsiaTheme="minorEastAsia" w:hAnsi="Invesco Interstate Light"/>
          <w:i/>
          <w:sz w:val="22"/>
          <w:szCs w:val="22"/>
        </w:rPr>
        <w:t>Komentář Kristiny Hooper, vedoucí straté</w:t>
      </w:r>
      <w:r w:rsidR="00452739" w:rsidRPr="00F26CC7">
        <w:rPr>
          <w:rFonts w:ascii="Invesco Interstate Light" w:eastAsiaTheme="minorEastAsia" w:hAnsi="Invesco Interstate Light"/>
          <w:i/>
          <w:sz w:val="22"/>
          <w:szCs w:val="22"/>
        </w:rPr>
        <w:t>žky</w:t>
      </w:r>
      <w:r w:rsidR="00106C3B" w:rsidRPr="00F26CC7">
        <w:rPr>
          <w:rFonts w:ascii="Invesco Interstate Light" w:eastAsiaTheme="minorEastAsia" w:hAnsi="Invesco Interstate Light"/>
          <w:i/>
          <w:sz w:val="22"/>
          <w:szCs w:val="22"/>
        </w:rPr>
        <w:t xml:space="preserve"> </w:t>
      </w:r>
      <w:r w:rsidRPr="00F26CC7">
        <w:rPr>
          <w:rFonts w:ascii="Invesco Interstate Light" w:eastAsiaTheme="minorEastAsia" w:hAnsi="Invesco Interstate Light"/>
          <w:i/>
          <w:sz w:val="22"/>
          <w:szCs w:val="22"/>
        </w:rPr>
        <w:t>pro globální trhy, Invesco Ltd.</w:t>
      </w:r>
      <w:r w:rsidR="00106C3B" w:rsidRPr="00F26CC7">
        <w:rPr>
          <w:rFonts w:ascii="Invesco Interstate Light" w:eastAsiaTheme="minorEastAsia" w:hAnsi="Invesco Interstate Light"/>
          <w:i/>
          <w:sz w:val="22"/>
          <w:szCs w:val="22"/>
        </w:rPr>
        <w:t xml:space="preserve"> </w:t>
      </w:r>
    </w:p>
    <w:p w14:paraId="37D153CC" w14:textId="2ABC20CD" w:rsidR="00083997" w:rsidRPr="00F26CC7" w:rsidRDefault="00EE0A7C" w:rsidP="00F26CC7">
      <w:pPr>
        <w:spacing w:line="360" w:lineRule="auto"/>
        <w:jc w:val="both"/>
        <w:rPr>
          <w:rFonts w:ascii="Invesco Interstate Bold" w:hAnsi="Invesco Interstate Bold"/>
          <w:b/>
          <w:bCs/>
          <w:sz w:val="24"/>
          <w:szCs w:val="24"/>
        </w:rPr>
      </w:pPr>
      <w:r>
        <w:rPr>
          <w:rFonts w:ascii="Invesco Interstate Bold" w:hAnsi="Invesco Interstate Bold"/>
          <w:b/>
          <w:bCs/>
          <w:sz w:val="24"/>
          <w:szCs w:val="24"/>
        </w:rPr>
        <w:t xml:space="preserve">Masivní výprodej na akciových trzích, ke kterému došlo minulé pondělí, se do konce týdne podařilo výrazně zvrátit. Nejšťastnější byli možná ti investoři, kteří na dva týdny vypnuli finanční zpravodajství, aby mohli sledovat sportovní přenosy, od moderního pětiboje až po breakdance, a teprve nyní znovu naladili finanční zprávy. Minulý týden jsem si říkala, jestli by „tipování budoucích kroků Fedu“ nemohlo být považováno za oficiální sport, když se ho účastní tolik lidí. </w:t>
      </w:r>
      <w:r>
        <w:rPr>
          <w:rFonts w:ascii="Invesco Interstate Bold" w:hAnsi="Invesco Interstate Bold"/>
          <w:b/>
          <w:bCs/>
          <w:sz w:val="24"/>
          <w:szCs w:val="24"/>
        </w:rPr>
        <w:br/>
      </w:r>
      <w:r w:rsidRPr="00EE0A7C">
        <w:rPr>
          <w:rFonts w:ascii="Invesco Interstate Light" w:hAnsi="Invesco Interstate Light"/>
          <w:b/>
          <w:bCs/>
          <w:sz w:val="22"/>
          <w:szCs w:val="22"/>
        </w:rPr>
        <w:br/>
      </w:r>
      <w:r w:rsidRPr="00EE0A7C">
        <w:rPr>
          <w:rFonts w:ascii="Invesco Interstate Light" w:eastAsiaTheme="minorEastAsia" w:hAnsi="Invesco Interstate Light"/>
          <w:sz w:val="22"/>
          <w:szCs w:val="22"/>
        </w:rPr>
        <w:t>Ale vážně, nedávný výprodej na světových trzích bych označila za přehnanou reakci. Zde je několik důvodů, proč se akcie už pravděpodobně stabilizovaly.</w:t>
      </w:r>
      <w:r>
        <w:rPr>
          <w:rFonts w:ascii="Invesco Interstate Bold" w:hAnsi="Invesco Interstate Bold"/>
          <w:b/>
          <w:bCs/>
          <w:sz w:val="24"/>
          <w:szCs w:val="24"/>
        </w:rPr>
        <w:t xml:space="preserve"> </w:t>
      </w:r>
    </w:p>
    <w:p w14:paraId="748881A4" w14:textId="4B279C48" w:rsidR="005A3F63" w:rsidRDefault="00EE0A7C" w:rsidP="005A3F63">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Bank of Japan slibuje opatrnost při zvyšování sazeb</w:t>
      </w:r>
    </w:p>
    <w:p w14:paraId="33E25AD4" w14:textId="2090980A" w:rsidR="00B41391" w:rsidRPr="00B41391" w:rsidRDefault="00EE0A7C" w:rsidP="00B41391">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Japonská centrální banka (BOJ), která před dvěma týdny zvýšením sazeb přispěla k mezinárodnímu výprodeji, uklidnila investorské nervy prohlášením, že v nejbližší době bude velmi opatrná při dalším zvyšování sazeb. </w:t>
      </w:r>
    </w:p>
    <w:p w14:paraId="0DC34060" w14:textId="417D4833" w:rsidR="00B41391" w:rsidRPr="00251567" w:rsidRDefault="00B41391" w:rsidP="00B41391">
      <w:pPr>
        <w:spacing w:line="360" w:lineRule="auto"/>
        <w:jc w:val="both"/>
      </w:pPr>
      <w:r>
        <w:rPr>
          <w:rFonts w:ascii="Arial" w:hAnsi="Arial" w:cs="Arial"/>
          <w:color w:val="000000"/>
          <w:lang w:eastAsia="cs-CZ"/>
        </w:rPr>
        <w:br/>
      </w:r>
      <w:r w:rsidR="00EE0A7C">
        <w:rPr>
          <w:rFonts w:ascii="Invesco Interstate Light" w:eastAsiaTheme="minorEastAsia" w:hAnsi="Invesco Interstate Light"/>
          <w:sz w:val="22"/>
          <w:szCs w:val="22"/>
        </w:rPr>
        <w:t xml:space="preserve">Poměrně </w:t>
      </w:r>
      <w:r w:rsidR="00EE0A7C" w:rsidRPr="00EE0A7C">
        <w:rPr>
          <w:rFonts w:ascii="Invesco Interstate Light" w:eastAsiaTheme="minorEastAsia" w:hAnsi="Invesco Interstate Light"/>
          <w:sz w:val="22"/>
          <w:szCs w:val="22"/>
        </w:rPr>
        <w:t>překvapivé zvýšení sazeb ze strany BOJ narušilo carry trade – situaci, kdy si investoři půjčují peníze v měně s nízkým úrokem, aby investovali do měny s vyšším úrokem. Japonský jen byl často využíván jako měna pro financování carry trade, protože sazby jenu byly kvůli ultra nízké měnové politice BOJ po mnoho let nižší než jinde, zejména v USA. Úrokový spread mezi americkým dolarem a japonským jenem byl obzvláště široký od roku 2022, kdy americký Federální rezervní systém (FED) začal zpřísňovat úrokové sazby. To zvyšovalo potenciální zisk z půjček v jenech na investice v dolarech. Tuto ziskovost však snížila nedávná jestřábí politika BOJ.</w:t>
      </w:r>
    </w:p>
    <w:p w14:paraId="50CC4B8C" w14:textId="5B2B557C" w:rsidR="00251567" w:rsidRDefault="00B41391" w:rsidP="00F578BE">
      <w:pPr>
        <w:spacing w:line="360" w:lineRule="auto"/>
        <w:jc w:val="both"/>
        <w:rPr>
          <w:rFonts w:ascii="Invesco Interstate Light" w:eastAsiaTheme="minorEastAsia" w:hAnsi="Invesco Interstate Light"/>
          <w:sz w:val="22"/>
          <w:szCs w:val="22"/>
        </w:rPr>
      </w:pPr>
      <w:r>
        <w:rPr>
          <w:rFonts w:ascii="Arial" w:hAnsi="Arial" w:cs="Arial"/>
          <w:color w:val="000000"/>
          <w:lang w:eastAsia="cs-CZ"/>
        </w:rPr>
        <w:br/>
      </w:r>
      <w:r w:rsidR="00251567" w:rsidRPr="00251567">
        <w:rPr>
          <w:rFonts w:ascii="Invesco Interstate Light" w:eastAsiaTheme="minorEastAsia" w:hAnsi="Invesco Interstate Light"/>
          <w:sz w:val="22"/>
          <w:szCs w:val="22"/>
        </w:rPr>
        <w:t xml:space="preserve">Minulý týden viceguvernér Bank of Japan Šiniči Učida navrhnul určité uklidnění: </w:t>
      </w:r>
      <w:r w:rsidR="00251567" w:rsidRPr="00251567">
        <w:rPr>
          <w:rFonts w:ascii="Invesco Interstate Light" w:eastAsiaTheme="minorEastAsia" w:hAnsi="Invesco Interstate Light"/>
          <w:i/>
          <w:iCs/>
          <w:sz w:val="22"/>
          <w:szCs w:val="22"/>
        </w:rPr>
        <w:t>„Vzhledem k tomu, že jsme svědky prudké volatility na domácích i zahraničních finančních trzích, je nutné zachovat současnou úroveň uvolňování měnové politiky.</w:t>
      </w:r>
      <w:r w:rsidR="00251567" w:rsidRPr="00251567">
        <w:rPr>
          <w:rFonts w:ascii="Invesco Interstate Light" w:eastAsiaTheme="minorEastAsia" w:hAnsi="Invesco Interstate Light"/>
          <w:i/>
          <w:iCs/>
          <w:sz w:val="22"/>
          <w:szCs w:val="22"/>
        </w:rPr>
        <w:t>“</w:t>
      </w:r>
    </w:p>
    <w:p w14:paraId="34538FD7" w14:textId="77777777" w:rsidR="00251567" w:rsidRDefault="00251567" w:rsidP="001C27B4">
      <w:pPr>
        <w:autoSpaceDE w:val="0"/>
        <w:autoSpaceDN w:val="0"/>
        <w:adjustRightInd w:val="0"/>
        <w:spacing w:line="276" w:lineRule="auto"/>
        <w:rPr>
          <w:rFonts w:ascii="Invesco Interstate Light" w:eastAsiaTheme="minorEastAsia" w:hAnsi="Invesco Interstate Light"/>
          <w:sz w:val="22"/>
          <w:szCs w:val="22"/>
        </w:rPr>
      </w:pPr>
    </w:p>
    <w:p w14:paraId="4514FB45" w14:textId="79D506E8" w:rsidR="001C27B4" w:rsidRPr="001C27B4" w:rsidRDefault="00251567" w:rsidP="001C27B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Počet žádostí o podporu v nezaměstnanosti v USA byl nižší, než se očekávalo</w:t>
      </w:r>
    </w:p>
    <w:p w14:paraId="080514D1" w14:textId="5E398C4A" w:rsidR="00251567" w:rsidRDefault="00251567" w:rsidP="00251567">
      <w:pPr>
        <w:spacing w:line="360" w:lineRule="auto"/>
        <w:jc w:val="both"/>
        <w:rPr>
          <w:rFonts w:ascii="Invesco Interstate Light" w:eastAsiaTheme="minorEastAsia" w:hAnsi="Invesco Interstate Light"/>
          <w:sz w:val="22"/>
          <w:szCs w:val="22"/>
        </w:rPr>
      </w:pPr>
      <w:r>
        <w:br/>
      </w:r>
      <w:r w:rsidRPr="00251567">
        <w:rPr>
          <w:rFonts w:ascii="Invesco Interstate Light" w:eastAsiaTheme="minorEastAsia" w:hAnsi="Invesco Interstate Light"/>
          <w:sz w:val="22"/>
          <w:szCs w:val="22"/>
        </w:rPr>
        <w:t xml:space="preserve">Byly to právě údaje z oblasti pracovního trhu </w:t>
      </w:r>
      <w:r w:rsidRPr="00EE0A7C">
        <w:rPr>
          <w:rFonts w:ascii="Invesco Interstate Light" w:eastAsiaTheme="minorEastAsia" w:hAnsi="Invesco Interstate Light"/>
          <w:sz w:val="22"/>
          <w:szCs w:val="22"/>
        </w:rPr>
        <w:t>–</w:t>
      </w:r>
      <w:r w:rsidRPr="00251567">
        <w:rPr>
          <w:rFonts w:ascii="Invesco Interstate Light" w:eastAsiaTheme="minorEastAsia" w:hAnsi="Invesco Interstate Light"/>
          <w:sz w:val="22"/>
          <w:szCs w:val="22"/>
        </w:rPr>
        <w:t xml:space="preserve"> konkrétně červencová zpráva o zaměstnanosti v USA </w:t>
      </w:r>
      <w:r w:rsidRPr="00EE0A7C">
        <w:rPr>
          <w:rFonts w:ascii="Invesco Interstate Light" w:eastAsiaTheme="minorEastAsia" w:hAnsi="Invesco Interstate Light"/>
          <w:sz w:val="22"/>
          <w:szCs w:val="22"/>
        </w:rPr>
        <w:t>–</w:t>
      </w:r>
      <w:r w:rsidRPr="00251567">
        <w:rPr>
          <w:rFonts w:ascii="Invesco Interstate Light" w:eastAsiaTheme="minorEastAsia" w:hAnsi="Invesco Interstate Light"/>
          <w:sz w:val="22"/>
          <w:szCs w:val="22"/>
        </w:rPr>
        <w:t xml:space="preserve">, které pomohly trhům dostat se do krize tím, že vyvolaly obavy z možné recese v USA. Je tedy logické, že to zas byly </w:t>
      </w:r>
      <w:r w:rsidRPr="00251567">
        <w:rPr>
          <w:rFonts w:ascii="Invesco Interstate Light" w:eastAsiaTheme="minorEastAsia" w:hAnsi="Invesco Interstate Light"/>
          <w:sz w:val="22"/>
          <w:szCs w:val="22"/>
        </w:rPr>
        <w:lastRenderedPageBreak/>
        <w:t xml:space="preserve">údaje z této oblasti </w:t>
      </w:r>
      <w:r w:rsidRPr="00EE0A7C">
        <w:rPr>
          <w:rFonts w:ascii="Invesco Interstate Light" w:eastAsiaTheme="minorEastAsia" w:hAnsi="Invesco Interstate Light"/>
          <w:sz w:val="22"/>
          <w:szCs w:val="22"/>
        </w:rPr>
        <w:t>–</w:t>
      </w:r>
      <w:r w:rsidRPr="00251567">
        <w:rPr>
          <w:rFonts w:ascii="Invesco Interstate Light" w:eastAsiaTheme="minorEastAsia" w:hAnsi="Invesco Interstate Light"/>
          <w:sz w:val="22"/>
          <w:szCs w:val="22"/>
        </w:rPr>
        <w:t xml:space="preserve"> konkrétně nižší než očekávaný počet počátečních žádostí o podporu v nezaměstnanosti v minulém týdnu </w:t>
      </w:r>
      <w:r w:rsidRPr="00EE0A7C">
        <w:rPr>
          <w:rFonts w:ascii="Invesco Interstate Light" w:eastAsiaTheme="minorEastAsia" w:hAnsi="Invesco Interstate Light"/>
          <w:sz w:val="22"/>
          <w:szCs w:val="22"/>
        </w:rPr>
        <w:t>–</w:t>
      </w:r>
      <w:r w:rsidRPr="00251567">
        <w:rPr>
          <w:rFonts w:ascii="Invesco Interstate Light" w:eastAsiaTheme="minorEastAsia" w:hAnsi="Invesco Interstate Light"/>
          <w:sz w:val="22"/>
          <w:szCs w:val="22"/>
        </w:rPr>
        <w:t>, které pomohly uklidnit trhy.</w:t>
      </w:r>
    </w:p>
    <w:p w14:paraId="42F90B58" w14:textId="77777777" w:rsidR="00251567" w:rsidRPr="00251567" w:rsidRDefault="00251567" w:rsidP="00251567">
      <w:pPr>
        <w:spacing w:line="360" w:lineRule="auto"/>
        <w:jc w:val="both"/>
      </w:pPr>
    </w:p>
    <w:p w14:paraId="62B51295" w14:textId="77777777" w:rsidR="00251567" w:rsidRPr="00251567" w:rsidRDefault="00251567" w:rsidP="00251567">
      <w:pPr>
        <w:spacing w:line="360" w:lineRule="auto"/>
        <w:jc w:val="both"/>
        <w:rPr>
          <w:rFonts w:ascii="Invesco Interstate Light" w:eastAsiaTheme="minorEastAsia" w:hAnsi="Invesco Interstate Light"/>
          <w:sz w:val="22"/>
          <w:szCs w:val="22"/>
        </w:rPr>
      </w:pPr>
      <w:r w:rsidRPr="00251567">
        <w:rPr>
          <w:rFonts w:ascii="Invesco Interstate Light" w:eastAsiaTheme="minorEastAsia" w:hAnsi="Invesco Interstate Light"/>
          <w:sz w:val="22"/>
          <w:szCs w:val="22"/>
        </w:rPr>
        <w:t>Obavy z recese samozřejmě nastartuje více než jen jedna zpráva z trhu práce, takže budeme pozorně sledovat všechna ekonomická data, zda se v americké ekonomice neobjeví další trhliny, které by naznačovaly zvýšenou pravděpodobnost recese.</w:t>
      </w:r>
    </w:p>
    <w:p w14:paraId="76F65202" w14:textId="77777777" w:rsidR="00251567" w:rsidRPr="00251567" w:rsidRDefault="00251567" w:rsidP="00251567">
      <w:pPr>
        <w:spacing w:line="360" w:lineRule="auto"/>
        <w:jc w:val="both"/>
        <w:rPr>
          <w:rFonts w:ascii="Invesco Interstate Light" w:eastAsiaTheme="minorEastAsia" w:hAnsi="Invesco Interstate Light"/>
          <w:sz w:val="22"/>
          <w:szCs w:val="22"/>
        </w:rPr>
      </w:pPr>
    </w:p>
    <w:p w14:paraId="7589BBA6" w14:textId="4844FE07" w:rsidR="007F58A4" w:rsidRPr="007F58A4" w:rsidRDefault="00251567" w:rsidP="007F58A4">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Klíčový technický indikátor signalizuje, že akcie mohou být přeprodané</w:t>
      </w:r>
    </w:p>
    <w:p w14:paraId="2D820E59" w14:textId="46695E19" w:rsidR="00251567" w:rsidRPr="00251567" w:rsidRDefault="00251567" w:rsidP="00251567">
      <w:pPr>
        <w:spacing w:line="360" w:lineRule="auto"/>
        <w:jc w:val="both"/>
        <w:rPr>
          <w:rFonts w:ascii="Invesco Interstate Light" w:eastAsiaTheme="minorEastAsia" w:hAnsi="Invesco Interstate Light"/>
          <w:sz w:val="22"/>
          <w:szCs w:val="22"/>
        </w:rPr>
      </w:pPr>
      <w:r>
        <w:br/>
      </w:r>
      <w:r w:rsidRPr="00251567">
        <w:rPr>
          <w:rFonts w:ascii="Invesco Interstate Light" w:eastAsiaTheme="minorEastAsia" w:hAnsi="Invesco Interstate Light"/>
          <w:sz w:val="22"/>
          <w:szCs w:val="22"/>
        </w:rPr>
        <w:t xml:space="preserve">Indikátor relativní síly </w:t>
      </w:r>
      <w:r w:rsidRPr="00EE0A7C">
        <w:rPr>
          <w:rFonts w:ascii="Invesco Interstate Light" w:eastAsiaTheme="minorEastAsia" w:hAnsi="Invesco Interstate Light"/>
          <w:sz w:val="22"/>
          <w:szCs w:val="22"/>
        </w:rPr>
        <w:t>–</w:t>
      </w:r>
      <w:r w:rsidRPr="00251567">
        <w:rPr>
          <w:rFonts w:ascii="Invesco Interstate Light" w:eastAsiaTheme="minorEastAsia" w:hAnsi="Invesco Interstate Light"/>
          <w:sz w:val="22"/>
          <w:szCs w:val="22"/>
        </w:rPr>
        <w:t xml:space="preserve"> Relative Strength Indicator (RSI) je ukazatel, který měří rychlost a velikost nedávných cenových změn cenného papíru nebo indexu a vyhodnocuje, zda investoři danou investici překoupili nebo přeprodali. Hodnota RSI 70 nebo vyšší znamená překoupenost. Hodnota 30 nebo nižší značí přeprodaný stav.</w:t>
      </w:r>
    </w:p>
    <w:p w14:paraId="45EA2801" w14:textId="563C0F9C" w:rsidR="00251567" w:rsidRPr="00251567" w:rsidRDefault="00251567" w:rsidP="00251567">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r>
      <w:r w:rsidRPr="00251567">
        <w:rPr>
          <w:rFonts w:ascii="Invesco Interstate Light" w:eastAsiaTheme="minorEastAsia" w:hAnsi="Invesco Interstate Light"/>
          <w:sz w:val="22"/>
          <w:szCs w:val="22"/>
        </w:rPr>
        <w:t>Hodnota RSI pro index S&amp;P 500 vzrostla 10. července nad 81, což naznačuje překoupené podmínky. To se ale rychle změnilo; 5. srpna hodnota RSI pro index S&amp;P 500 klesla na 30, což naznačuje přeprodaný stav. Podobně hodnota RSI pro index MSCI All Country World vzrostla 16. července nad 80, ale poté 5. srpna klesla na 27, což také naznačuje přeprodaný stav. Od té doby se hodnoty RSI pro oba indexy normalizovaly a v současné době se jejich hodnoty pohybují okolo 44-45.</w:t>
      </w:r>
    </w:p>
    <w:p w14:paraId="05C9870B" w14:textId="77777777" w:rsidR="00251567" w:rsidRDefault="00251567" w:rsidP="00251567"/>
    <w:p w14:paraId="6E441F04" w14:textId="3A0F06FD" w:rsidR="005B47D2" w:rsidRDefault="00251567" w:rsidP="00203AEC">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 xml:space="preserve">Medvědí nálada minulý týden vzrostla </w:t>
      </w:r>
    </w:p>
    <w:p w14:paraId="447C8369" w14:textId="77777777" w:rsidR="00251567" w:rsidRDefault="00251567" w:rsidP="00251567"/>
    <w:p w14:paraId="2953AC20" w14:textId="58976EA5" w:rsidR="00251567" w:rsidRPr="00251567" w:rsidRDefault="00251567" w:rsidP="00251567">
      <w:pPr>
        <w:spacing w:line="360" w:lineRule="auto"/>
        <w:rPr>
          <w:rFonts w:ascii="Invesco Interstate Light" w:eastAsiaTheme="minorEastAsia" w:hAnsi="Invesco Interstate Light"/>
          <w:sz w:val="22"/>
          <w:szCs w:val="22"/>
        </w:rPr>
      </w:pPr>
      <w:r w:rsidRPr="00251567">
        <w:rPr>
          <w:rFonts w:ascii="Invesco Interstate Light" w:eastAsiaTheme="minorEastAsia" w:hAnsi="Invesco Interstate Light"/>
          <w:sz w:val="22"/>
          <w:szCs w:val="22"/>
        </w:rPr>
        <w:t>Medvědí sentiment individuálních investorů byl v minulosti považován za indikátor, který potenciálně signalizuje atraktivní nákupní příležitost.</w:t>
      </w:r>
    </w:p>
    <w:p w14:paraId="032BF787" w14:textId="4140E2A9" w:rsidR="00251567" w:rsidRPr="00251567" w:rsidRDefault="00251567" w:rsidP="00251567">
      <w:pPr>
        <w:spacing w:line="360" w:lineRule="auto"/>
        <w:jc w:val="both"/>
        <w:rPr>
          <w:rFonts w:ascii="Invesco Interstate Light" w:eastAsiaTheme="minorEastAsia" w:hAnsi="Invesco Interstate Light"/>
          <w:sz w:val="22"/>
          <w:szCs w:val="22"/>
        </w:rPr>
      </w:pPr>
      <w:r>
        <w:br/>
      </w:r>
      <w:r w:rsidRPr="00251567">
        <w:rPr>
          <w:rFonts w:ascii="Invesco Interstate Light" w:eastAsiaTheme="minorEastAsia" w:hAnsi="Invesco Interstate Light"/>
          <w:sz w:val="22"/>
          <w:szCs w:val="22"/>
        </w:rPr>
        <w:t>Americká asociace individuálních investorů (AAII) sleduje každý týden náladu na trhu skrze průzkum veřejného mínění. Medvědí sentiment, který je definován jako očekávání, že ceny akcií v příštích šesti měsících klesnou, se minulý týden zvýšil o neuvěřitelných 12,3procentního bodu na 37,5 %. To je výrazně nad historickým průměrem 31,0 % a jedná se o nejvyšší úroveň v roce 2024.</w:t>
      </w:r>
    </w:p>
    <w:p w14:paraId="1B28ADCA" w14:textId="77777777" w:rsidR="00251567" w:rsidRDefault="00251567" w:rsidP="007F5F69">
      <w:pPr>
        <w:autoSpaceDE w:val="0"/>
        <w:autoSpaceDN w:val="0"/>
        <w:adjustRightInd w:val="0"/>
        <w:spacing w:line="276" w:lineRule="auto"/>
        <w:rPr>
          <w:rFonts w:ascii="Invesco Interstate Light" w:eastAsiaTheme="minorEastAsia" w:hAnsi="Invesco Interstate Light"/>
          <w:sz w:val="22"/>
          <w:szCs w:val="22"/>
        </w:rPr>
      </w:pPr>
    </w:p>
    <w:p w14:paraId="28F190BB" w14:textId="6B8F6647" w:rsidR="007F5F69" w:rsidRDefault="00251567" w:rsidP="007F5F69">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Podnikavá očekávání zisků jsou podle našeho názoru slušná</w:t>
      </w:r>
    </w:p>
    <w:p w14:paraId="13E83E31" w14:textId="3144A866" w:rsidR="00251567" w:rsidRDefault="00251567" w:rsidP="00627478">
      <w:pPr>
        <w:spacing w:line="360" w:lineRule="auto"/>
        <w:jc w:val="both"/>
        <w:rPr>
          <w:rFonts w:ascii="Invesco Interstate Light" w:eastAsiaTheme="minorEastAsia" w:hAnsi="Invesco Interstate Light"/>
          <w:sz w:val="22"/>
          <w:szCs w:val="22"/>
        </w:rPr>
      </w:pPr>
      <w:r>
        <w:br/>
      </w:r>
      <w:r w:rsidRPr="00627478">
        <w:rPr>
          <w:rFonts w:ascii="Invesco Interstate Light" w:eastAsiaTheme="minorEastAsia" w:hAnsi="Invesco Interstate Light"/>
          <w:sz w:val="22"/>
          <w:szCs w:val="22"/>
        </w:rPr>
        <w:t xml:space="preserve">Máme za sebou solidní výsledkovou sezónu, 91 % společností z indexu S&amp;P 500 oznámilo výsledky za druhé čtvrtletí a 78 % z nich překonalo očekávání. I celkový výhled zisků je poměrně pozitivní. Očekává se, že index S&amp;P 500 dosáhne v kalendářním roce 2024 meziročního růstu výnosů ve výši 10,8 %. Pravděpodobně budeme </w:t>
      </w:r>
      <w:r w:rsidRPr="00627478">
        <w:rPr>
          <w:rFonts w:ascii="Invesco Interstate Light" w:eastAsiaTheme="minorEastAsia" w:hAnsi="Invesco Interstate Light"/>
          <w:sz w:val="22"/>
          <w:szCs w:val="22"/>
        </w:rPr>
        <w:lastRenderedPageBreak/>
        <w:t>svědky mírnějšího třetího čtvrtletí, kdy se očekává meziroční růst zisků ve výši 5,4 %, ale ve čtvrtém čtvrtletí by se měl tento růst výrazně zvýšit. Růst zisků by měl být silný i v kalendářním roce 2025, a to ve výši 15,2 % meziročně.  A jak jsem již uvedla, očekává se, že k růstu zisků přispěje více společností, což by mělo podpořit i ceny akcií.</w:t>
      </w:r>
    </w:p>
    <w:p w14:paraId="2D885759" w14:textId="77777777" w:rsidR="00627478" w:rsidRDefault="00627478" w:rsidP="00627478">
      <w:pPr>
        <w:spacing w:line="240" w:lineRule="auto"/>
        <w:rPr>
          <w:rFonts w:ascii="Invesco Interstate Light" w:eastAsiaTheme="minorEastAsia" w:hAnsi="Invesco Interstate Light"/>
          <w:sz w:val="22"/>
          <w:szCs w:val="22"/>
        </w:rPr>
      </w:pPr>
    </w:p>
    <w:p w14:paraId="628BB84A" w14:textId="7150F566" w:rsidR="00627478" w:rsidRDefault="00627478" w:rsidP="00627478">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Očekává se, že Fed bude ke snižování sazeb přistupovat rozvážně</w:t>
      </w:r>
    </w:p>
    <w:p w14:paraId="74514DC3" w14:textId="77777777" w:rsidR="00627478" w:rsidRDefault="00627478" w:rsidP="00627478">
      <w:pPr>
        <w:spacing w:line="240" w:lineRule="auto"/>
        <w:rPr>
          <w:rFonts w:ascii="Invesco Interstate Light" w:eastAsiaTheme="minorEastAsia" w:hAnsi="Invesco Interstate Light"/>
          <w:sz w:val="22"/>
          <w:szCs w:val="22"/>
        </w:rPr>
      </w:pPr>
    </w:p>
    <w:p w14:paraId="6E21241A" w14:textId="116B71FB" w:rsidR="00627478" w:rsidRPr="00627478" w:rsidRDefault="00627478" w:rsidP="00627478">
      <w:pPr>
        <w:spacing w:line="360" w:lineRule="auto"/>
        <w:jc w:val="both"/>
        <w:rPr>
          <w:rFonts w:ascii="Invesco Interstate Light" w:eastAsiaTheme="minorEastAsia" w:hAnsi="Invesco Interstate Light"/>
          <w:sz w:val="22"/>
          <w:szCs w:val="22"/>
        </w:rPr>
      </w:pPr>
      <w:r w:rsidRPr="00627478">
        <w:rPr>
          <w:rFonts w:ascii="Invesco Interstate Light" w:eastAsiaTheme="minorEastAsia" w:hAnsi="Invesco Interstate Light"/>
          <w:sz w:val="22"/>
          <w:szCs w:val="22"/>
        </w:rPr>
        <w:t>Fed podle mého názoru do zářijového zasedání neprovede mimořádné snížení sazeb</w:t>
      </w:r>
      <w:r>
        <w:rPr>
          <w:rFonts w:ascii="Invesco Interstate Light" w:eastAsiaTheme="minorEastAsia" w:hAnsi="Invesco Interstate Light"/>
          <w:sz w:val="22"/>
          <w:szCs w:val="22"/>
        </w:rPr>
        <w:t xml:space="preserve"> </w:t>
      </w:r>
      <w:r w:rsidRPr="00EE0A7C">
        <w:rPr>
          <w:rFonts w:ascii="Invesco Interstate Light" w:eastAsiaTheme="minorEastAsia" w:hAnsi="Invesco Interstate Light"/>
          <w:sz w:val="22"/>
          <w:szCs w:val="22"/>
        </w:rPr>
        <w:t>–</w:t>
      </w:r>
      <w:r>
        <w:rPr>
          <w:rFonts w:ascii="Invesco Interstate Light" w:eastAsiaTheme="minorEastAsia" w:hAnsi="Invesco Interstate Light"/>
          <w:sz w:val="22"/>
          <w:szCs w:val="22"/>
        </w:rPr>
        <w:t xml:space="preserve"> </w:t>
      </w:r>
      <w:r w:rsidRPr="00627478">
        <w:rPr>
          <w:rFonts w:ascii="Invesco Interstate Light" w:eastAsiaTheme="minorEastAsia" w:hAnsi="Invesco Interstate Light"/>
          <w:sz w:val="22"/>
          <w:szCs w:val="22"/>
        </w:rPr>
        <w:t>žádná mimořádná situace neexistuje, takže pro to není důvod. Dokonce si myslím, že pokud by snížil sazby před zářím, způsobilo by to na trhu velké rozrušení. I když si říkám, že bylo chybou, že se Fed v červenci vzdal snížení sazeb, nemyslím si, že by to způsobilo nenapravitelné škody.</w:t>
      </w:r>
    </w:p>
    <w:p w14:paraId="3E9110A8" w14:textId="77777777" w:rsidR="00627478" w:rsidRDefault="00627478" w:rsidP="00627478">
      <w:pPr>
        <w:spacing w:line="240" w:lineRule="auto"/>
        <w:rPr>
          <w:rFonts w:ascii="Invesco Interstate Light" w:eastAsiaTheme="minorEastAsia" w:hAnsi="Invesco Interstate Light"/>
          <w:sz w:val="22"/>
          <w:szCs w:val="22"/>
        </w:rPr>
      </w:pPr>
    </w:p>
    <w:p w14:paraId="5E38DDD6" w14:textId="77777777" w:rsidR="00627478" w:rsidRPr="00627478" w:rsidRDefault="00627478" w:rsidP="00627478">
      <w:pPr>
        <w:spacing w:line="360" w:lineRule="auto"/>
        <w:jc w:val="both"/>
        <w:rPr>
          <w:rFonts w:ascii="Invesco Interstate Light" w:eastAsiaTheme="minorEastAsia" w:hAnsi="Invesco Interstate Light"/>
          <w:sz w:val="22"/>
          <w:szCs w:val="22"/>
        </w:rPr>
      </w:pPr>
      <w:r w:rsidRPr="00627478">
        <w:rPr>
          <w:rFonts w:ascii="Invesco Interstate Light" w:eastAsiaTheme="minorEastAsia" w:hAnsi="Invesco Interstate Light"/>
          <w:sz w:val="22"/>
          <w:szCs w:val="22"/>
        </w:rPr>
        <w:t>Domnívám se, že snižování sazeb Fedu bude zpočátku umírněné. Neočekávám, že by Fed na zářijovém zasedání snížil sazby o více než 25 bazických bodů a také se domnívám, že snížení o více než 25 bazických bodů v září by způsobilo nervozitu na trhu, protože by to naznačovalo, že Fed se začal mnohem více zajímat o zdraví ekonomiky. Stačí se podívat na modus operandi Fedu, když začal zvyšovat sazby v roce 2022. Věděl, že je pozdě začít zvyšovat sazby, ale začal v březnu se zvýšením sazeb pouze o 25 bazických bodů. To sice brzy zrychlilo na 50 bazických bodů v květnu a 75 bazických bodů na červnovém zasedání, ale zdálo se, že si Fed chce „zachovat tvář“, když začal zpřísňovat. Myslím, že podobnou situaci zažijeme, až Fed letos v září konečně začne snižovat. Očekávám, že pravděpodobně začne jen s 25 bazickými body.</w:t>
      </w:r>
    </w:p>
    <w:p w14:paraId="5713B800" w14:textId="77777777" w:rsidR="00627478" w:rsidRDefault="00627478" w:rsidP="00627478">
      <w:pPr>
        <w:spacing w:line="360" w:lineRule="auto"/>
        <w:jc w:val="both"/>
        <w:rPr>
          <w:rFonts w:ascii="Invesco Interstate Light" w:eastAsiaTheme="minorEastAsia" w:hAnsi="Invesco Interstate Light"/>
          <w:sz w:val="22"/>
          <w:szCs w:val="22"/>
        </w:rPr>
      </w:pPr>
    </w:p>
    <w:p w14:paraId="2A86C21A" w14:textId="194A794C" w:rsidR="00627478" w:rsidRDefault="00627478" w:rsidP="00627478">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Výhled do budoucna</w:t>
      </w:r>
    </w:p>
    <w:p w14:paraId="2669DE40" w14:textId="77777777" w:rsidR="00627478" w:rsidRDefault="00627478" w:rsidP="00627478">
      <w:pPr>
        <w:spacing w:line="360" w:lineRule="auto"/>
        <w:jc w:val="both"/>
        <w:rPr>
          <w:rFonts w:ascii="Invesco Interstate Light" w:eastAsiaTheme="minorEastAsia" w:hAnsi="Invesco Interstate Light"/>
          <w:sz w:val="22"/>
          <w:szCs w:val="22"/>
        </w:rPr>
      </w:pPr>
    </w:p>
    <w:p w14:paraId="367F1304" w14:textId="77777777" w:rsidR="00627478" w:rsidRPr="00627478" w:rsidRDefault="00627478" w:rsidP="00627478">
      <w:pPr>
        <w:spacing w:line="360" w:lineRule="auto"/>
        <w:jc w:val="both"/>
        <w:rPr>
          <w:rFonts w:ascii="Invesco Interstate Light" w:eastAsiaTheme="minorEastAsia" w:hAnsi="Invesco Interstate Light"/>
          <w:sz w:val="22"/>
          <w:szCs w:val="22"/>
        </w:rPr>
      </w:pPr>
      <w:r w:rsidRPr="00627478">
        <w:rPr>
          <w:rFonts w:ascii="Invesco Interstate Light" w:eastAsiaTheme="minorEastAsia" w:hAnsi="Invesco Interstate Light"/>
          <w:sz w:val="22"/>
          <w:szCs w:val="22"/>
        </w:rPr>
        <w:t>Ačkoli se zdá, že se akcie stabilizovaly, domnívám se, že ve vzduchu je cítit nervozita, která pravděpodobně povede k vyšší volatilitě a možnostem k přehnaným reakcím na data a vývoj trhu. Domnívám se, že investorům by mohlo prospět, kdyby svou investiční cestu vnímali spíše jako maraton než jako sprint.</w:t>
      </w:r>
    </w:p>
    <w:p w14:paraId="692A3B59" w14:textId="591C1BF8" w:rsidR="00627478" w:rsidRPr="00627478" w:rsidRDefault="00627478" w:rsidP="00627478">
      <w:pPr>
        <w:spacing w:line="360"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br w:type="page"/>
      </w:r>
    </w:p>
    <w:p w14:paraId="170A4931" w14:textId="77777777" w:rsidR="00036240" w:rsidRDefault="00036240" w:rsidP="00651AAE">
      <w:pPr>
        <w:autoSpaceDE w:val="0"/>
        <w:autoSpaceDN w:val="0"/>
        <w:adjustRightInd w:val="0"/>
        <w:spacing w:line="240" w:lineRule="auto"/>
        <w:rPr>
          <w:rFonts w:ascii="Invesco Interstate Light" w:hAnsi="Invesco Interstate Light"/>
        </w:rPr>
      </w:pPr>
    </w:p>
    <w:p w14:paraId="00A6941A"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18C5EDF"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5120580B"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60DE8AD4"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5480CDAB"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6C5EED1D"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10BB6321"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7FD6AA8C"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959BA9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325804E7"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5C0E7C8"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0488EA02"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1385F611"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153DAB8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79E9A969"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141525C5"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0A56BD87"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CB1980B"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0422BA16"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43499A89"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79BA4A9D"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7ACD68DC"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353CBBA1"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75F6E521" w14:textId="77777777" w:rsidR="00861B48" w:rsidRPr="00861B48" w:rsidRDefault="00861B48" w:rsidP="00861B48">
      <w:pPr>
        <w:spacing w:line="240" w:lineRule="auto"/>
        <w:rPr>
          <w:rFonts w:ascii="Invesco Interstate Light" w:hAnsi="Invesco Interstate Light"/>
          <w:b/>
          <w:sz w:val="22"/>
          <w:szCs w:val="22"/>
          <w:u w:val="single"/>
        </w:rPr>
      </w:pPr>
    </w:p>
    <w:p w14:paraId="1BC1146F"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59399A19"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11D99EA1" w14:textId="77777777" w:rsidR="002355DD" w:rsidRPr="00873CBF" w:rsidRDefault="002355DD" w:rsidP="002355DD">
      <w:pPr>
        <w:spacing w:line="240" w:lineRule="exact"/>
        <w:rPr>
          <w:rFonts w:ascii="Invesco Interstate Light" w:hAnsi="Invesco Interstate Light"/>
          <w:sz w:val="22"/>
          <w:szCs w:val="22"/>
        </w:rPr>
      </w:pPr>
    </w:p>
    <w:p w14:paraId="64A74F64"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019DA56B"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17DFB78A"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7C90EF6A" w14:textId="77777777"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AD753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1559A" w14:textId="77777777" w:rsidR="00927665" w:rsidRDefault="00927665">
      <w:r>
        <w:separator/>
      </w:r>
    </w:p>
  </w:endnote>
  <w:endnote w:type="continuationSeparator" w:id="0">
    <w:p w14:paraId="1259D637" w14:textId="77777777" w:rsidR="00927665" w:rsidRDefault="00927665">
      <w:r>
        <w:continuationSeparator/>
      </w:r>
    </w:p>
  </w:endnote>
  <w:endnote w:type="continuationNotice" w:id="1">
    <w:p w14:paraId="7254B531" w14:textId="77777777" w:rsidR="00927665" w:rsidRDefault="009276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BED3C" w14:textId="77777777" w:rsidR="00927665" w:rsidRDefault="00927665">
      <w:r>
        <w:separator/>
      </w:r>
    </w:p>
  </w:footnote>
  <w:footnote w:type="continuationSeparator" w:id="0">
    <w:p w14:paraId="63235505" w14:textId="77777777" w:rsidR="00927665" w:rsidRDefault="00927665">
      <w:r>
        <w:continuationSeparator/>
      </w:r>
    </w:p>
  </w:footnote>
  <w:footnote w:type="continuationNotice" w:id="1">
    <w:p w14:paraId="4E36AF14" w14:textId="77777777" w:rsidR="00927665" w:rsidRDefault="009276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95474"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F5955D1" wp14:editId="313E0CC4">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4A69E645"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5BB3AFEB" w14:textId="29FAA4F7" w:rsidR="00702C33" w:rsidRPr="000730A6" w:rsidRDefault="00297202" w:rsidP="0083625E">
    <w:pPr>
      <w:pStyle w:val="Zhlav"/>
      <w:pBdr>
        <w:top w:val="single" w:sz="4" w:space="3" w:color="auto"/>
      </w:pBdr>
      <w:spacing w:line="298" w:lineRule="exact"/>
      <w:ind w:left="3402"/>
      <w:jc w:val="right"/>
      <w:rPr>
        <w:color w:val="000000"/>
        <w:sz w:val="28"/>
        <w:szCs w:val="28"/>
      </w:rPr>
    </w:pPr>
    <w:r>
      <w:rPr>
        <w:color w:val="000000"/>
        <w:sz w:val="28"/>
        <w:szCs w:val="28"/>
      </w:rPr>
      <w:t>1</w:t>
    </w:r>
    <w:r w:rsidR="00EE0A7C">
      <w:rPr>
        <w:color w:val="000000"/>
        <w:sz w:val="28"/>
        <w:szCs w:val="28"/>
      </w:rPr>
      <w:t>5</w:t>
    </w:r>
    <w:r w:rsidR="0083625E">
      <w:rPr>
        <w:color w:val="000000"/>
        <w:sz w:val="28"/>
        <w:szCs w:val="28"/>
      </w:rPr>
      <w:t>.</w:t>
    </w:r>
    <w:r w:rsidR="00EE0A7C">
      <w:rPr>
        <w:color w:val="000000"/>
        <w:sz w:val="28"/>
        <w:szCs w:val="28"/>
      </w:rPr>
      <w:t>8</w:t>
    </w:r>
    <w:r w:rsidR="0083625E">
      <w:rPr>
        <w:color w:val="000000"/>
        <w:sz w:val="28"/>
        <w:szCs w:val="28"/>
      </w:rPr>
      <w:t>.202</w:t>
    </w:r>
    <w:r w:rsidR="00FE0021">
      <w:rPr>
        <w:color w:val="000000"/>
        <w:sz w:val="28"/>
        <w:szCs w:val="28"/>
      </w:rPr>
      <w:t>4</w:t>
    </w:r>
  </w:p>
  <w:p w14:paraId="1770B5D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59FBFEE5"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36E8D94"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33A404E"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20E66C1"/>
    <w:multiLevelType w:val="hybridMultilevel"/>
    <w:tmpl w:val="9A2E8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1E345DB5"/>
    <w:multiLevelType w:val="hybridMultilevel"/>
    <w:tmpl w:val="4A88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226B76"/>
    <w:multiLevelType w:val="hybridMultilevel"/>
    <w:tmpl w:val="223E185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392A"/>
    <w:multiLevelType w:val="hybridMultilevel"/>
    <w:tmpl w:val="3ACE4E12"/>
    <w:lvl w:ilvl="0" w:tplc="48E2694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8272E8"/>
    <w:multiLevelType w:val="hybridMultilevel"/>
    <w:tmpl w:val="0CF434E4"/>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A46D70"/>
    <w:multiLevelType w:val="multilevel"/>
    <w:tmpl w:val="11820CCE"/>
    <w:numStyleLink w:val="FormatvorlageAufgezhlt"/>
  </w:abstractNum>
  <w:abstractNum w:abstractNumId="15" w15:restartNumberingAfterBreak="0">
    <w:nsid w:val="40AF481D"/>
    <w:multiLevelType w:val="hybridMultilevel"/>
    <w:tmpl w:val="7E585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A2BBE"/>
    <w:multiLevelType w:val="hybridMultilevel"/>
    <w:tmpl w:val="B488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3D085B"/>
    <w:multiLevelType w:val="hybridMultilevel"/>
    <w:tmpl w:val="755E2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E32DDB"/>
    <w:multiLevelType w:val="hybridMultilevel"/>
    <w:tmpl w:val="B4AA798C"/>
    <w:lvl w:ilvl="0" w:tplc="B988134C">
      <w:numFmt w:val="bullet"/>
      <w:lvlText w:val="-"/>
      <w:lvlJc w:val="left"/>
      <w:pPr>
        <w:ind w:left="720" w:hanging="360"/>
      </w:pPr>
      <w:rPr>
        <w:rFonts w:ascii="Invesco Interstate Light" w:eastAsiaTheme="minorEastAsia" w:hAnsi="Invesco Interstate Ligh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630B23"/>
    <w:multiLevelType w:val="multilevel"/>
    <w:tmpl w:val="11820CCE"/>
    <w:numStyleLink w:val="FormatvorlageAufgezhlt"/>
  </w:abstractNum>
  <w:abstractNum w:abstractNumId="23"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9F0EFC"/>
    <w:multiLevelType w:val="hybridMultilevel"/>
    <w:tmpl w:val="144E3F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5A4861"/>
    <w:multiLevelType w:val="hybridMultilevel"/>
    <w:tmpl w:val="BD141A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D403C3"/>
    <w:multiLevelType w:val="multilevel"/>
    <w:tmpl w:val="11820CCE"/>
    <w:numStyleLink w:val="FormatvorlageAufgezhlt"/>
  </w:abstractNum>
  <w:abstractNum w:abstractNumId="33" w15:restartNumberingAfterBreak="0">
    <w:nsid w:val="6C6C4721"/>
    <w:multiLevelType w:val="multilevel"/>
    <w:tmpl w:val="11820CCE"/>
    <w:numStyleLink w:val="FormatvorlageAufgezhlt"/>
  </w:abstractNum>
  <w:abstractNum w:abstractNumId="3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D854370"/>
    <w:multiLevelType w:val="multilevel"/>
    <w:tmpl w:val="C00C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E5380B"/>
    <w:multiLevelType w:val="multilevel"/>
    <w:tmpl w:val="11820CCE"/>
    <w:numStyleLink w:val="FormatvorlageAufgezhlt"/>
  </w:abstractNum>
  <w:abstractNum w:abstractNumId="37"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702448">
    <w:abstractNumId w:val="0"/>
  </w:num>
  <w:num w:numId="2" w16cid:durableId="719785210">
    <w:abstractNumId w:val="16"/>
  </w:num>
  <w:num w:numId="3" w16cid:durableId="1651596066">
    <w:abstractNumId w:val="28"/>
  </w:num>
  <w:num w:numId="4" w16cid:durableId="1757242756">
    <w:abstractNumId w:val="18"/>
  </w:num>
  <w:num w:numId="5" w16cid:durableId="1410537838">
    <w:abstractNumId w:val="22"/>
  </w:num>
  <w:num w:numId="6" w16cid:durableId="1083454688">
    <w:abstractNumId w:val="32"/>
  </w:num>
  <w:num w:numId="7" w16cid:durableId="1741825010">
    <w:abstractNumId w:val="33"/>
  </w:num>
  <w:num w:numId="8" w16cid:durableId="213277949">
    <w:abstractNumId w:val="1"/>
  </w:num>
  <w:num w:numId="9" w16cid:durableId="144981880">
    <w:abstractNumId w:val="36"/>
  </w:num>
  <w:num w:numId="10" w16cid:durableId="381559511">
    <w:abstractNumId w:val="14"/>
  </w:num>
  <w:num w:numId="11" w16cid:durableId="1550386119">
    <w:abstractNumId w:val="4"/>
  </w:num>
  <w:num w:numId="12" w16cid:durableId="17189687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079294">
    <w:abstractNumId w:val="41"/>
  </w:num>
  <w:num w:numId="14" w16cid:durableId="905724805">
    <w:abstractNumId w:val="42"/>
  </w:num>
  <w:num w:numId="15" w16cid:durableId="1799765080">
    <w:abstractNumId w:val="27"/>
  </w:num>
  <w:num w:numId="16" w16cid:durableId="129981702">
    <w:abstractNumId w:val="7"/>
  </w:num>
  <w:num w:numId="17" w16cid:durableId="344093924">
    <w:abstractNumId w:val="2"/>
  </w:num>
  <w:num w:numId="18" w16cid:durableId="836262855">
    <w:abstractNumId w:val="31"/>
  </w:num>
  <w:num w:numId="19" w16cid:durableId="1623655340">
    <w:abstractNumId w:val="34"/>
  </w:num>
  <w:num w:numId="20" w16cid:durableId="162815365">
    <w:abstractNumId w:val="39"/>
  </w:num>
  <w:num w:numId="21" w16cid:durableId="1319698521">
    <w:abstractNumId w:val="38"/>
  </w:num>
  <w:num w:numId="22" w16cid:durableId="160704017">
    <w:abstractNumId w:val="13"/>
  </w:num>
  <w:num w:numId="23" w16cid:durableId="399912388">
    <w:abstractNumId w:val="26"/>
  </w:num>
  <w:num w:numId="24" w16cid:durableId="1673994114">
    <w:abstractNumId w:val="20"/>
  </w:num>
  <w:num w:numId="25" w16cid:durableId="377514569">
    <w:abstractNumId w:val="40"/>
  </w:num>
  <w:num w:numId="26" w16cid:durableId="1258519076">
    <w:abstractNumId w:val="25"/>
  </w:num>
  <w:num w:numId="27" w16cid:durableId="450519464">
    <w:abstractNumId w:val="3"/>
  </w:num>
  <w:num w:numId="28" w16cid:durableId="1879389585">
    <w:abstractNumId w:val="6"/>
  </w:num>
  <w:num w:numId="29" w16cid:durableId="1925601886">
    <w:abstractNumId w:val="37"/>
  </w:num>
  <w:num w:numId="30" w16cid:durableId="911544297">
    <w:abstractNumId w:val="23"/>
  </w:num>
  <w:num w:numId="31" w16cid:durableId="115491377">
    <w:abstractNumId w:val="24"/>
  </w:num>
  <w:num w:numId="32" w16cid:durableId="1010260102">
    <w:abstractNumId w:val="8"/>
  </w:num>
  <w:num w:numId="33" w16cid:durableId="2039817741">
    <w:abstractNumId w:val="35"/>
  </w:num>
  <w:num w:numId="34" w16cid:durableId="172575044">
    <w:abstractNumId w:val="17"/>
  </w:num>
  <w:num w:numId="35" w16cid:durableId="2069184999">
    <w:abstractNumId w:val="11"/>
  </w:num>
  <w:num w:numId="36" w16cid:durableId="190925979">
    <w:abstractNumId w:val="10"/>
  </w:num>
  <w:num w:numId="37" w16cid:durableId="443891569">
    <w:abstractNumId w:val="15"/>
  </w:num>
  <w:num w:numId="38" w16cid:durableId="2078673578">
    <w:abstractNumId w:val="19"/>
  </w:num>
  <w:num w:numId="39" w16cid:durableId="341707414">
    <w:abstractNumId w:val="5"/>
  </w:num>
  <w:num w:numId="40" w16cid:durableId="1881285507">
    <w:abstractNumId w:val="29"/>
  </w:num>
  <w:num w:numId="41" w16cid:durableId="1638220600">
    <w:abstractNumId w:val="21"/>
  </w:num>
  <w:num w:numId="42" w16cid:durableId="1121148711">
    <w:abstractNumId w:val="12"/>
  </w:num>
  <w:num w:numId="43" w16cid:durableId="26766096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240"/>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498A"/>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A29"/>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997"/>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2E1D"/>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3A54"/>
    <w:rsid w:val="000D442D"/>
    <w:rsid w:val="000D4614"/>
    <w:rsid w:val="000D4A9F"/>
    <w:rsid w:val="000D54BF"/>
    <w:rsid w:val="000D5865"/>
    <w:rsid w:val="000D5B26"/>
    <w:rsid w:val="000D6236"/>
    <w:rsid w:val="000D69EA"/>
    <w:rsid w:val="000D71A7"/>
    <w:rsid w:val="000E00C1"/>
    <w:rsid w:val="000E03CA"/>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6C3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0BC"/>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7B4"/>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67"/>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4F9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97202"/>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7C8"/>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4DF1"/>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31B"/>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3DFD"/>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1D7"/>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7DD"/>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2739"/>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4DD4"/>
    <w:rsid w:val="00475349"/>
    <w:rsid w:val="0047544F"/>
    <w:rsid w:val="0047561C"/>
    <w:rsid w:val="004756DD"/>
    <w:rsid w:val="004759D4"/>
    <w:rsid w:val="0047656F"/>
    <w:rsid w:val="0047658F"/>
    <w:rsid w:val="00476AAD"/>
    <w:rsid w:val="00477011"/>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3A6D"/>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4E3"/>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7BF"/>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1D"/>
    <w:rsid w:val="004E6C79"/>
    <w:rsid w:val="004E75FF"/>
    <w:rsid w:val="004E77B1"/>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357"/>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3F9"/>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1E2E"/>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5F7A1B"/>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478"/>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7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16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1E47"/>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5C4F"/>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77B4C"/>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58A4"/>
    <w:rsid w:val="007F5F69"/>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1BD4"/>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A3F"/>
    <w:rsid w:val="00922C7C"/>
    <w:rsid w:val="00922D37"/>
    <w:rsid w:val="00922E6F"/>
    <w:rsid w:val="0092356B"/>
    <w:rsid w:val="009237BB"/>
    <w:rsid w:val="009239CB"/>
    <w:rsid w:val="0092493D"/>
    <w:rsid w:val="009251AB"/>
    <w:rsid w:val="009256BA"/>
    <w:rsid w:val="00925812"/>
    <w:rsid w:val="00925E35"/>
    <w:rsid w:val="0092629E"/>
    <w:rsid w:val="0092679E"/>
    <w:rsid w:val="00926B93"/>
    <w:rsid w:val="00927294"/>
    <w:rsid w:val="0092729C"/>
    <w:rsid w:val="00927665"/>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AC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2CED"/>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532"/>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391"/>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4E1"/>
    <w:rsid w:val="00BB6A77"/>
    <w:rsid w:val="00BB71B9"/>
    <w:rsid w:val="00BB77F1"/>
    <w:rsid w:val="00BB7BCD"/>
    <w:rsid w:val="00BC0684"/>
    <w:rsid w:val="00BC08A4"/>
    <w:rsid w:val="00BC13AE"/>
    <w:rsid w:val="00BC2376"/>
    <w:rsid w:val="00BC3A10"/>
    <w:rsid w:val="00BC51EB"/>
    <w:rsid w:val="00BC5692"/>
    <w:rsid w:val="00BC59FB"/>
    <w:rsid w:val="00BC5A35"/>
    <w:rsid w:val="00BC5E71"/>
    <w:rsid w:val="00BC6B6F"/>
    <w:rsid w:val="00BC6D6F"/>
    <w:rsid w:val="00BC7A3A"/>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1FA"/>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5A77"/>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0F1D"/>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CF7AA1"/>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3B8E"/>
    <w:rsid w:val="00D1468E"/>
    <w:rsid w:val="00D14EFB"/>
    <w:rsid w:val="00D15315"/>
    <w:rsid w:val="00D15985"/>
    <w:rsid w:val="00D1636C"/>
    <w:rsid w:val="00D1757F"/>
    <w:rsid w:val="00D17D02"/>
    <w:rsid w:val="00D20270"/>
    <w:rsid w:val="00D20371"/>
    <w:rsid w:val="00D20F84"/>
    <w:rsid w:val="00D21C93"/>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744"/>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1A57"/>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5897"/>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4F6C"/>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413"/>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0748"/>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490"/>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A7C"/>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C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3F8D"/>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8BE"/>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546C4"/>
  <w15:docId w15:val="{7EC300BC-C776-41B9-A7D9-C232CFEFA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26F918-6FDC-48AA-897E-2562459DD7DB}">
  <ds:schemaRefs>
    <ds:schemaRef ds:uri="http://schemas.openxmlformats.org/officeDocument/2006/bibliography"/>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1156</Words>
  <Characters>6825</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4</cp:revision>
  <cp:lastPrinted>2021-02-17T20:24:00Z</cp:lastPrinted>
  <dcterms:created xsi:type="dcterms:W3CDTF">2024-08-15T10:31:00Z</dcterms:created>
  <dcterms:modified xsi:type="dcterms:W3CDTF">2024-08-15T11:26:00Z</dcterms:modified>
</cp:coreProperties>
</file>