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47CB3" w14:textId="4272BB74" w:rsidR="00E66388" w:rsidRDefault="00F97D36"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Čtvrtletní výhled pro globální alokaci aktiv v modelovém portfoliu</w:t>
      </w:r>
      <w:r w:rsidR="0070078B">
        <w:rPr>
          <w:rFonts w:ascii="Invesco Interstate Bold" w:hAnsi="Invesco Interstate Bold"/>
          <w:b/>
          <w:bCs/>
          <w:sz w:val="28"/>
          <w:szCs w:val="28"/>
        </w:rPr>
        <w:t xml:space="preserve"> </w:t>
      </w:r>
      <w:r w:rsidR="005D4104" w:rsidRPr="005D4104">
        <w:rPr>
          <w:rFonts w:ascii="Invesco Interstate Bold" w:hAnsi="Invesco Interstate Bold"/>
          <w:b/>
          <w:bCs/>
          <w:sz w:val="28"/>
          <w:szCs w:val="28"/>
        </w:rPr>
        <w:t xml:space="preserve">– </w:t>
      </w:r>
      <w:r>
        <w:rPr>
          <w:rFonts w:ascii="Invesco Interstate Bold" w:hAnsi="Invesco Interstate Bold"/>
          <w:b/>
          <w:bCs/>
          <w:sz w:val="28"/>
          <w:szCs w:val="28"/>
        </w:rPr>
        <w:t>4. čtvrtletí 2024</w:t>
      </w:r>
    </w:p>
    <w:p w14:paraId="6E80B62B" w14:textId="6E515CE6" w:rsidR="001F6A31" w:rsidRPr="00F26CC7" w:rsidRDefault="001F6A31" w:rsidP="00916408">
      <w:pPr>
        <w:spacing w:before="100" w:beforeAutospacing="1" w:afterAutospacing="1" w:line="240" w:lineRule="auto"/>
        <w:jc w:val="both"/>
        <w:rPr>
          <w:rFonts w:ascii="Invesco Interstate Light" w:eastAsiaTheme="minorEastAsia" w:hAnsi="Invesco Interstate Light"/>
          <w:i/>
          <w:sz w:val="22"/>
          <w:szCs w:val="22"/>
        </w:rPr>
      </w:pPr>
      <w:r w:rsidRPr="00F26CC7">
        <w:rPr>
          <w:rFonts w:ascii="Invesco Interstate Light" w:eastAsiaTheme="minorEastAsia" w:hAnsi="Invesco Interstate Light"/>
          <w:i/>
          <w:sz w:val="22"/>
          <w:szCs w:val="22"/>
        </w:rPr>
        <w:t>Komentář</w:t>
      </w:r>
      <w:r w:rsidR="009A7159">
        <w:rPr>
          <w:rFonts w:ascii="Invesco Interstate Light" w:eastAsiaTheme="minorEastAsia" w:hAnsi="Invesco Interstate Light"/>
          <w:i/>
          <w:sz w:val="22"/>
          <w:szCs w:val="22"/>
        </w:rPr>
        <w:t xml:space="preserve"> od </w:t>
      </w:r>
      <w:r w:rsidR="00F97D36">
        <w:rPr>
          <w:rFonts w:ascii="Invesco Interstate Light" w:eastAsiaTheme="minorEastAsia" w:hAnsi="Invesco Interstate Light"/>
          <w:i/>
          <w:sz w:val="22"/>
          <w:szCs w:val="22"/>
        </w:rPr>
        <w:t>Paula Jacksona</w:t>
      </w:r>
      <w:r w:rsidR="005D4104">
        <w:rPr>
          <w:rFonts w:ascii="Invesco Interstate Light" w:eastAsiaTheme="minorEastAsia" w:hAnsi="Invesco Interstate Light"/>
          <w:i/>
          <w:sz w:val="22"/>
          <w:szCs w:val="22"/>
        </w:rPr>
        <w:t>,</w:t>
      </w:r>
      <w:r w:rsidR="00F97D36">
        <w:rPr>
          <w:rFonts w:ascii="Invesco Interstate Light" w:eastAsiaTheme="minorEastAsia" w:hAnsi="Invesco Interstate Light"/>
          <w:i/>
          <w:sz w:val="22"/>
          <w:szCs w:val="22"/>
        </w:rPr>
        <w:t xml:space="preserve"> hlavního globálního analytika a</w:t>
      </w:r>
      <w:r w:rsidR="005D4104">
        <w:rPr>
          <w:rFonts w:ascii="Invesco Interstate Light" w:eastAsiaTheme="minorEastAsia" w:hAnsi="Invesco Interstate Light"/>
          <w:i/>
          <w:sz w:val="22"/>
          <w:szCs w:val="22"/>
        </w:rPr>
        <w:t xml:space="preserve"> </w:t>
      </w:r>
      <w:r w:rsidR="00F97D36">
        <w:rPr>
          <w:rFonts w:ascii="Invesco Interstate Light" w:eastAsiaTheme="minorEastAsia" w:hAnsi="Invesco Interstate Light"/>
          <w:i/>
          <w:sz w:val="22"/>
          <w:szCs w:val="22"/>
        </w:rPr>
        <w:t xml:space="preserve">Andráse </w:t>
      </w:r>
      <w:proofErr w:type="spellStart"/>
      <w:r w:rsidR="00F97D36">
        <w:rPr>
          <w:rFonts w:ascii="Invesco Interstate Light" w:eastAsiaTheme="minorEastAsia" w:hAnsi="Invesco Interstate Light"/>
          <w:i/>
          <w:sz w:val="22"/>
          <w:szCs w:val="22"/>
        </w:rPr>
        <w:t>Viga</w:t>
      </w:r>
      <w:proofErr w:type="spellEnd"/>
      <w:r w:rsidR="00F97D36">
        <w:rPr>
          <w:rFonts w:ascii="Invesco Interstate Light" w:eastAsiaTheme="minorEastAsia" w:hAnsi="Invesco Interstate Light"/>
          <w:i/>
          <w:sz w:val="22"/>
          <w:szCs w:val="22"/>
        </w:rPr>
        <w:t xml:space="preserve">, stratéga pro různé druhy aktiv </w:t>
      </w:r>
      <w:r w:rsidR="009A7159">
        <w:rPr>
          <w:rFonts w:ascii="Invesco Interstate Light" w:eastAsiaTheme="minorEastAsia" w:hAnsi="Invesco Interstate Light"/>
          <w:i/>
          <w:sz w:val="22"/>
          <w:szCs w:val="22"/>
        </w:rPr>
        <w:t xml:space="preserve">ze společnosti </w:t>
      </w:r>
      <w:proofErr w:type="spellStart"/>
      <w:r w:rsidRPr="00F26CC7">
        <w:rPr>
          <w:rFonts w:ascii="Invesco Interstate Light" w:eastAsiaTheme="minorEastAsia" w:hAnsi="Invesco Interstate Light"/>
          <w:i/>
          <w:sz w:val="22"/>
          <w:szCs w:val="22"/>
        </w:rPr>
        <w:t>Invesco</w:t>
      </w:r>
      <w:proofErr w:type="spellEnd"/>
      <w:r w:rsidRPr="00F26CC7">
        <w:rPr>
          <w:rFonts w:ascii="Invesco Interstate Light" w:eastAsiaTheme="minorEastAsia" w:hAnsi="Invesco Interstate Light"/>
          <w:i/>
          <w:sz w:val="22"/>
          <w:szCs w:val="22"/>
        </w:rPr>
        <w:t xml:space="preserve"> Ltd.</w:t>
      </w:r>
      <w:r w:rsidR="00106C3B" w:rsidRPr="00F26CC7">
        <w:rPr>
          <w:rFonts w:ascii="Invesco Interstate Light" w:eastAsiaTheme="minorEastAsia" w:hAnsi="Invesco Interstate Light"/>
          <w:i/>
          <w:sz w:val="22"/>
          <w:szCs w:val="22"/>
        </w:rPr>
        <w:t xml:space="preserve"> </w:t>
      </w:r>
    </w:p>
    <w:p w14:paraId="5AD972FA" w14:textId="1E25BD77" w:rsidR="00083997" w:rsidRDefault="00BA0A86" w:rsidP="00657C88">
      <w:pPr>
        <w:pStyle w:val="Odstavecseseznamem"/>
        <w:numPr>
          <w:ilvl w:val="0"/>
          <w:numId w:val="45"/>
        </w:numPr>
        <w:spacing w:line="360" w:lineRule="auto"/>
        <w:jc w:val="both"/>
        <w:rPr>
          <w:rFonts w:ascii="Invesco Interstate Bold" w:hAnsi="Invesco Interstate Bold"/>
          <w:b/>
          <w:bCs/>
          <w:sz w:val="24"/>
          <w:szCs w:val="24"/>
        </w:rPr>
      </w:pPr>
      <w:r>
        <w:rPr>
          <w:rFonts w:ascii="Invesco Interstate Bold" w:hAnsi="Invesco Interstate Bold"/>
          <w:b/>
          <w:bCs/>
          <w:sz w:val="24"/>
          <w:szCs w:val="24"/>
        </w:rPr>
        <w:t>Po nedávném růstu cen aktiv a navzdory snížení sazeb centrální banky očekáváme nižší výnosy než dříve a snažíme se méně riskovat u alokace kvůli globálním ekonomickým obavám.</w:t>
      </w:r>
    </w:p>
    <w:p w14:paraId="1CE9E04A" w14:textId="607C25FA" w:rsidR="00657C88" w:rsidRPr="00657C88" w:rsidRDefault="00BA0A86" w:rsidP="00657C88">
      <w:pPr>
        <w:pStyle w:val="Odstavecseseznamem"/>
        <w:numPr>
          <w:ilvl w:val="0"/>
          <w:numId w:val="45"/>
        </w:numPr>
        <w:spacing w:line="360" w:lineRule="auto"/>
        <w:rPr>
          <w:rFonts w:ascii="Invesco Interstate Bold" w:hAnsi="Invesco Interstate Bold"/>
          <w:b/>
          <w:bCs/>
          <w:sz w:val="24"/>
          <w:szCs w:val="24"/>
        </w:rPr>
      </w:pPr>
      <w:r>
        <w:rPr>
          <w:rFonts w:ascii="Invesco Interstate Bold" w:hAnsi="Invesco Interstate Bold"/>
          <w:b/>
          <w:bCs/>
          <w:sz w:val="24"/>
          <w:szCs w:val="24"/>
        </w:rPr>
        <w:t xml:space="preserve">Ačkoli volby v USA a geopolitické události by mohly přinést krátkodobou volatilitu, očekáváme, že bude krátkodobá. </w:t>
      </w:r>
    </w:p>
    <w:p w14:paraId="0E2417EC" w14:textId="081A6093" w:rsidR="00657C88" w:rsidRPr="00657C88" w:rsidRDefault="00BA0A86" w:rsidP="00657C88">
      <w:pPr>
        <w:pStyle w:val="Odstavecseseznamem"/>
        <w:numPr>
          <w:ilvl w:val="0"/>
          <w:numId w:val="45"/>
        </w:numPr>
        <w:spacing w:line="360" w:lineRule="auto"/>
        <w:jc w:val="both"/>
        <w:rPr>
          <w:rFonts w:ascii="Invesco Interstate Bold" w:hAnsi="Invesco Interstate Bold"/>
          <w:b/>
          <w:bCs/>
          <w:sz w:val="24"/>
          <w:szCs w:val="24"/>
        </w:rPr>
      </w:pPr>
      <w:r>
        <w:rPr>
          <w:rFonts w:ascii="Invesco Interstate Bold" w:hAnsi="Invesco Interstate Bold"/>
          <w:b/>
          <w:bCs/>
          <w:sz w:val="24"/>
          <w:szCs w:val="24"/>
        </w:rPr>
        <w:t xml:space="preserve">V rámci našeho modelu zvyšujeme alokace do státních dluhopisů a dluhopisů investičního stupně (obojí na </w:t>
      </w:r>
      <w:proofErr w:type="spellStart"/>
      <w:r>
        <w:rPr>
          <w:rFonts w:ascii="Invesco Interstate Bold" w:hAnsi="Invesco Interstate Bold"/>
          <w:b/>
          <w:bCs/>
          <w:sz w:val="24"/>
          <w:szCs w:val="24"/>
        </w:rPr>
        <w:t>Overweight</w:t>
      </w:r>
      <w:proofErr w:type="spellEnd"/>
      <w:r>
        <w:rPr>
          <w:rFonts w:ascii="Invesco Interstate Bold" w:hAnsi="Invesco Interstate Bold"/>
          <w:b/>
          <w:bCs/>
          <w:sz w:val="24"/>
          <w:szCs w:val="24"/>
        </w:rPr>
        <w:t xml:space="preserve">) a snižujeme alokace prostředků do nemovitostí a komodit (obojí na </w:t>
      </w:r>
      <w:proofErr w:type="spellStart"/>
      <w:r>
        <w:rPr>
          <w:rFonts w:ascii="Invesco Interstate Bold" w:hAnsi="Invesco Interstate Bold"/>
          <w:b/>
          <w:bCs/>
          <w:sz w:val="24"/>
          <w:szCs w:val="24"/>
        </w:rPr>
        <w:t>Neutral</w:t>
      </w:r>
      <w:proofErr w:type="spellEnd"/>
      <w:r>
        <w:rPr>
          <w:rFonts w:ascii="Invesco Interstate Bold" w:hAnsi="Invesco Interstate Bold"/>
          <w:b/>
          <w:bCs/>
          <w:sz w:val="24"/>
          <w:szCs w:val="24"/>
        </w:rPr>
        <w:t>).</w:t>
      </w:r>
    </w:p>
    <w:p w14:paraId="1A7AC822" w14:textId="77777777" w:rsidR="0058632A" w:rsidRDefault="0058632A" w:rsidP="0058632A"/>
    <w:p w14:paraId="15C0C71C" w14:textId="4C6E5149" w:rsidR="00BA0A86" w:rsidRPr="007F58A4" w:rsidRDefault="00BA0A86" w:rsidP="00BA0A86">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Realokace do defenzivních aktiv při nižších výnosech</w:t>
      </w:r>
    </w:p>
    <w:p w14:paraId="534619B3" w14:textId="77777777" w:rsidR="00BA0A86" w:rsidRPr="00BA0A86" w:rsidRDefault="00BA0A86" w:rsidP="00BA0A86"/>
    <w:p w14:paraId="6153117E" w14:textId="5CFAB1C2" w:rsidR="00BA0A86" w:rsidRPr="00BA0A86" w:rsidRDefault="00C45D1E" w:rsidP="00BA0A86">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w:t>
      </w:r>
      <w:r w:rsidR="00BA0A86" w:rsidRPr="00C45D1E">
        <w:rPr>
          <w:rFonts w:ascii="Invesco Interstate Light" w:eastAsiaTheme="minorEastAsia" w:hAnsi="Invesco Interstate Light"/>
          <w:i/>
          <w:iCs/>
          <w:sz w:val="22"/>
          <w:szCs w:val="22"/>
        </w:rPr>
        <w:t>V posledních třech měsících jsme pozorovali růst cen aktiv spolu s klesajícími výnosy, což nás vede k očekávání nižších výnosů do budoucna. V důsledku toho podnikáme kroky ke snížení rizikovosti v našem modelu alokace aktiv, protože se domníváme, že současná situace nebude odměňovat další riskování</w:t>
      </w:r>
      <w:r>
        <w:rPr>
          <w:rFonts w:ascii="Invesco Interstate Light" w:eastAsiaTheme="minorEastAsia" w:hAnsi="Invesco Interstate Light"/>
          <w:sz w:val="22"/>
          <w:szCs w:val="22"/>
        </w:rPr>
        <w:t>,“ vysvětluje Paul Jackson z </w:t>
      </w:r>
      <w:proofErr w:type="spellStart"/>
      <w:r>
        <w:rPr>
          <w:rFonts w:ascii="Invesco Interstate Light" w:eastAsiaTheme="minorEastAsia" w:hAnsi="Invesco Interstate Light"/>
          <w:sz w:val="22"/>
          <w:szCs w:val="22"/>
        </w:rPr>
        <w:t>Invesca</w:t>
      </w:r>
      <w:proofErr w:type="spellEnd"/>
      <w:r>
        <w:rPr>
          <w:rFonts w:ascii="Invesco Interstate Light" w:eastAsiaTheme="minorEastAsia" w:hAnsi="Invesco Interstate Light"/>
          <w:sz w:val="22"/>
          <w:szCs w:val="22"/>
        </w:rPr>
        <w:t>.</w:t>
      </w:r>
    </w:p>
    <w:p w14:paraId="0DFBDF49" w14:textId="66C3A0D8" w:rsidR="00BA0A86" w:rsidRPr="00C45D1E" w:rsidRDefault="0005576C" w:rsidP="00BA0A86">
      <w:pPr>
        <w:spacing w:line="360" w:lineRule="auto"/>
        <w:jc w:val="both"/>
        <w:rPr>
          <w:rFonts w:ascii="Invesco Interstate Light" w:eastAsiaTheme="minorEastAsia" w:hAnsi="Invesco Interstate Light"/>
          <w:i/>
          <w:iCs/>
          <w:sz w:val="22"/>
          <w:szCs w:val="22"/>
        </w:rPr>
      </w:pPr>
      <w:r>
        <w:br/>
      </w:r>
      <w:r w:rsidR="00C45D1E">
        <w:rPr>
          <w:rFonts w:ascii="Invesco Interstate Light" w:eastAsiaTheme="minorEastAsia" w:hAnsi="Invesco Interstate Light"/>
          <w:i/>
          <w:iCs/>
          <w:sz w:val="22"/>
          <w:szCs w:val="22"/>
        </w:rPr>
        <w:t>„</w:t>
      </w:r>
      <w:r w:rsidR="00BA0A86" w:rsidRPr="00C45D1E">
        <w:rPr>
          <w:rFonts w:ascii="Invesco Interstate Light" w:eastAsiaTheme="minorEastAsia" w:hAnsi="Invesco Interstate Light"/>
          <w:i/>
          <w:iCs/>
          <w:sz w:val="22"/>
          <w:szCs w:val="22"/>
        </w:rPr>
        <w:t xml:space="preserve">Nyní zvyšujeme pozice ve státních dluhopisech a dluhopisech investičního stupně a obě tyto pozice přesouváme do </w:t>
      </w:r>
      <w:proofErr w:type="spellStart"/>
      <w:r w:rsidR="00BA0A86" w:rsidRPr="00C45D1E">
        <w:rPr>
          <w:rFonts w:ascii="Invesco Interstate Light" w:eastAsiaTheme="minorEastAsia" w:hAnsi="Invesco Interstate Light"/>
          <w:i/>
          <w:iCs/>
          <w:sz w:val="22"/>
          <w:szCs w:val="22"/>
        </w:rPr>
        <w:t>nadvážených</w:t>
      </w:r>
      <w:proofErr w:type="spellEnd"/>
      <w:r w:rsidR="00BA0A86" w:rsidRPr="00C45D1E">
        <w:rPr>
          <w:rFonts w:ascii="Invesco Interstate Light" w:eastAsiaTheme="minorEastAsia" w:hAnsi="Invesco Interstate Light"/>
          <w:i/>
          <w:iCs/>
          <w:sz w:val="22"/>
          <w:szCs w:val="22"/>
        </w:rPr>
        <w:t xml:space="preserve"> pozic – </w:t>
      </w:r>
      <w:proofErr w:type="spellStart"/>
      <w:r w:rsidR="00BA0A86" w:rsidRPr="00C45D1E">
        <w:rPr>
          <w:rFonts w:ascii="Invesco Interstate Light" w:eastAsiaTheme="minorEastAsia" w:hAnsi="Invesco Interstate Light"/>
          <w:i/>
          <w:iCs/>
          <w:sz w:val="22"/>
          <w:szCs w:val="22"/>
        </w:rPr>
        <w:t>Overweight</w:t>
      </w:r>
      <w:proofErr w:type="spellEnd"/>
      <w:r w:rsidR="00BA0A86" w:rsidRPr="00C45D1E">
        <w:rPr>
          <w:rFonts w:ascii="Invesco Interstate Light" w:eastAsiaTheme="minorEastAsia" w:hAnsi="Invesco Interstate Light"/>
          <w:i/>
          <w:iCs/>
          <w:sz w:val="22"/>
          <w:szCs w:val="22"/>
        </w:rPr>
        <w:t xml:space="preserve">, zatímco expozici vůči nemovitostem a komoditám snižujeme na </w:t>
      </w:r>
      <w:proofErr w:type="spellStart"/>
      <w:r w:rsidR="00BA0A86" w:rsidRPr="00C45D1E">
        <w:rPr>
          <w:rFonts w:ascii="Invesco Interstate Light" w:eastAsiaTheme="minorEastAsia" w:hAnsi="Invesco Interstate Light"/>
          <w:i/>
          <w:iCs/>
          <w:sz w:val="22"/>
          <w:szCs w:val="22"/>
        </w:rPr>
        <w:t>Neutral</w:t>
      </w:r>
      <w:proofErr w:type="spellEnd"/>
      <w:r w:rsidR="00BA0A86" w:rsidRPr="00C45D1E">
        <w:rPr>
          <w:rFonts w:ascii="Invesco Interstate Light" w:eastAsiaTheme="minorEastAsia" w:hAnsi="Invesco Interstate Light"/>
          <w:i/>
          <w:iCs/>
          <w:sz w:val="22"/>
          <w:szCs w:val="22"/>
        </w:rPr>
        <w:t>. Z regionálního hlediska preferujeme aktiva ve Velké Británii a na rozvíjejících se trzích (EM) a dále zvyšujeme expozici vůči japonskému jenu (JPY) prostřednictvím zajištění vůči americkému dolaru (USD).</w:t>
      </w:r>
      <w:r w:rsidR="00C45D1E">
        <w:rPr>
          <w:rFonts w:ascii="Invesco Interstate Light" w:eastAsiaTheme="minorEastAsia" w:hAnsi="Invesco Interstate Light"/>
          <w:i/>
          <w:iCs/>
          <w:sz w:val="22"/>
          <w:szCs w:val="22"/>
        </w:rPr>
        <w:t>“</w:t>
      </w:r>
    </w:p>
    <w:p w14:paraId="54230D62" w14:textId="469CAB3A" w:rsidR="00BA0A86" w:rsidRPr="00C45D1E" w:rsidRDefault="0005576C" w:rsidP="00BA0A86">
      <w:pPr>
        <w:spacing w:line="360" w:lineRule="auto"/>
        <w:jc w:val="both"/>
        <w:rPr>
          <w:i/>
          <w:iCs/>
        </w:rPr>
      </w:pPr>
      <w:r w:rsidRPr="00C45D1E">
        <w:rPr>
          <w:i/>
          <w:iCs/>
        </w:rPr>
        <w:br/>
      </w:r>
      <w:r w:rsidR="00C45D1E">
        <w:rPr>
          <w:rFonts w:ascii="Invesco Interstate Light" w:eastAsiaTheme="minorEastAsia" w:hAnsi="Invesco Interstate Light"/>
          <w:i/>
          <w:iCs/>
          <w:sz w:val="22"/>
          <w:szCs w:val="22"/>
        </w:rPr>
        <w:t>„</w:t>
      </w:r>
      <w:r w:rsidR="00BA0A86" w:rsidRPr="00C45D1E">
        <w:rPr>
          <w:rFonts w:ascii="Invesco Interstate Light" w:eastAsiaTheme="minorEastAsia" w:hAnsi="Invesco Interstate Light"/>
          <w:i/>
          <w:iCs/>
          <w:sz w:val="22"/>
          <w:szCs w:val="22"/>
        </w:rPr>
        <w:t xml:space="preserve">Dobrá zpráva? V příštích 12 měsících očekáváme rychlý pokles úrokových sazeb ze strany centrálních bank, přičemž trhy již nyní počítají se snížením úrokových sazeb ze strany </w:t>
      </w:r>
      <w:proofErr w:type="spellStart"/>
      <w:r w:rsidR="00BA0A86" w:rsidRPr="00C45D1E">
        <w:rPr>
          <w:rFonts w:ascii="Invesco Interstate Light" w:eastAsiaTheme="minorEastAsia" w:hAnsi="Invesco Interstate Light"/>
          <w:i/>
          <w:iCs/>
          <w:sz w:val="22"/>
          <w:szCs w:val="22"/>
        </w:rPr>
        <w:t>Fedu</w:t>
      </w:r>
      <w:proofErr w:type="spellEnd"/>
      <w:r w:rsidR="00BA0A86" w:rsidRPr="00C45D1E">
        <w:rPr>
          <w:rFonts w:ascii="Invesco Interstate Light" w:eastAsiaTheme="minorEastAsia" w:hAnsi="Invesco Interstate Light"/>
          <w:i/>
          <w:iCs/>
          <w:sz w:val="22"/>
          <w:szCs w:val="22"/>
        </w:rPr>
        <w:t xml:space="preserve"> o přibližně 240 bazických bodů. Špatnou zprávou však je, že některá cyklická aktiva si to pravděpodobně již započítala. Stejně tak se domníváme, že globální ekonomika zpomaluje. Na obzoru jsou také potenciální geopolitická a volební rizika, i když očekáváme, že jejich dopad bude v dlouhém období omezený. Optimalizace založená na našich předpokladech ohledně 12měsíčních výnosů nás vede k defenzivnějšímu přístupu, i když jsme opatrní, abychom to zase nepřehnali.</w:t>
      </w:r>
      <w:r w:rsidR="00C45D1E">
        <w:rPr>
          <w:rFonts w:ascii="Invesco Interstate Light" w:eastAsiaTheme="minorEastAsia" w:hAnsi="Invesco Interstate Light"/>
          <w:i/>
          <w:iCs/>
          <w:sz w:val="22"/>
          <w:szCs w:val="22"/>
        </w:rPr>
        <w:t>“</w:t>
      </w:r>
    </w:p>
    <w:p w14:paraId="551EEDA3" w14:textId="77777777" w:rsidR="00BA0A86" w:rsidRDefault="00BA0A86" w:rsidP="00BA0A86">
      <w:pPr>
        <w:autoSpaceDE w:val="0"/>
        <w:autoSpaceDN w:val="0"/>
        <w:adjustRightInd w:val="0"/>
        <w:spacing w:line="276" w:lineRule="auto"/>
        <w:rPr>
          <w:rFonts w:ascii="Invesco Interstate Light" w:hAnsi="Invesco Interstate Light"/>
          <w:b/>
          <w:bCs/>
          <w:sz w:val="22"/>
          <w:szCs w:val="22"/>
        </w:rPr>
      </w:pPr>
    </w:p>
    <w:p w14:paraId="770E3141" w14:textId="43D086E6" w:rsidR="00BA0A86" w:rsidRPr="007F58A4" w:rsidRDefault="00BA0A86" w:rsidP="00BA0A86">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 xml:space="preserve">Předpovědi snížení sazeb </w:t>
      </w:r>
      <w:proofErr w:type="spellStart"/>
      <w:r>
        <w:rPr>
          <w:rFonts w:ascii="Invesco Interstate Light" w:hAnsi="Invesco Interstate Light"/>
          <w:b/>
          <w:bCs/>
          <w:sz w:val="22"/>
          <w:szCs w:val="22"/>
        </w:rPr>
        <w:t>Fedu</w:t>
      </w:r>
      <w:proofErr w:type="spellEnd"/>
      <w:r>
        <w:rPr>
          <w:rFonts w:ascii="Invesco Interstate Light" w:hAnsi="Invesco Interstate Light"/>
          <w:b/>
          <w:bCs/>
          <w:sz w:val="22"/>
          <w:szCs w:val="22"/>
        </w:rPr>
        <w:t xml:space="preserve"> a prognózy na rok 2024</w:t>
      </w:r>
    </w:p>
    <w:p w14:paraId="0299FDD7" w14:textId="0A43073F" w:rsidR="00BA0A86" w:rsidRPr="00BA0A86" w:rsidRDefault="00950747" w:rsidP="00BA0A86">
      <w:pPr>
        <w:spacing w:line="360" w:lineRule="auto"/>
        <w:jc w:val="both"/>
        <w:rPr>
          <w:rFonts w:ascii="Invesco Interstate Light" w:eastAsiaTheme="minorEastAsia" w:hAnsi="Invesco Interstate Light"/>
          <w:sz w:val="22"/>
          <w:szCs w:val="22"/>
        </w:rPr>
      </w:pPr>
      <w:r>
        <w:br/>
      </w:r>
      <w:r w:rsidR="00BA0A86" w:rsidRPr="00BA0A86">
        <w:rPr>
          <w:rFonts w:ascii="Invesco Interstate Light" w:eastAsiaTheme="minorEastAsia" w:hAnsi="Invesco Interstate Light"/>
          <w:sz w:val="22"/>
          <w:szCs w:val="22"/>
        </w:rPr>
        <w:t xml:space="preserve">Co </w:t>
      </w:r>
      <w:r w:rsidR="00C45D1E">
        <w:rPr>
          <w:rFonts w:ascii="Invesco Interstate Light" w:eastAsiaTheme="minorEastAsia" w:hAnsi="Invesco Interstate Light"/>
          <w:sz w:val="22"/>
          <w:szCs w:val="22"/>
        </w:rPr>
        <w:t>lze</w:t>
      </w:r>
      <w:r w:rsidR="00BA0A86" w:rsidRPr="00BA0A86">
        <w:rPr>
          <w:rFonts w:ascii="Invesco Interstate Light" w:eastAsiaTheme="minorEastAsia" w:hAnsi="Invesco Interstate Light"/>
          <w:sz w:val="22"/>
          <w:szCs w:val="22"/>
        </w:rPr>
        <w:t xml:space="preserve"> od </w:t>
      </w:r>
      <w:proofErr w:type="spellStart"/>
      <w:r w:rsidR="00BA0A86" w:rsidRPr="00BA0A86">
        <w:rPr>
          <w:rFonts w:ascii="Invesco Interstate Light" w:eastAsiaTheme="minorEastAsia" w:hAnsi="Invesco Interstate Light"/>
          <w:sz w:val="22"/>
          <w:szCs w:val="22"/>
        </w:rPr>
        <w:t>Fedu</w:t>
      </w:r>
      <w:proofErr w:type="spellEnd"/>
      <w:r w:rsidR="00BA0A86" w:rsidRPr="00BA0A86">
        <w:rPr>
          <w:rFonts w:ascii="Invesco Interstate Light" w:eastAsiaTheme="minorEastAsia" w:hAnsi="Invesco Interstate Light"/>
          <w:sz w:val="22"/>
          <w:szCs w:val="22"/>
        </w:rPr>
        <w:t xml:space="preserve"> očekávat? Vzhledem k tomu, že v roce 2024 sníží sazby více než 40 centrálních bank, upírají se všechny oči na americký Federální rezervní systém. Fed oznámil své první snížení sazeb 18. září 2024 a to o 50 bazických bodů. </w:t>
      </w:r>
      <w:r w:rsidR="00C45D1E">
        <w:rPr>
          <w:rFonts w:ascii="Invesco Interstate Light" w:eastAsiaTheme="minorEastAsia" w:hAnsi="Invesco Interstate Light"/>
          <w:sz w:val="22"/>
          <w:szCs w:val="22"/>
        </w:rPr>
        <w:t>Proto</w:t>
      </w:r>
      <w:r w:rsidR="00BA0A86" w:rsidRPr="00BA0A86">
        <w:rPr>
          <w:rFonts w:ascii="Invesco Interstate Light" w:eastAsiaTheme="minorEastAsia" w:hAnsi="Invesco Interstate Light"/>
          <w:sz w:val="22"/>
          <w:szCs w:val="22"/>
        </w:rPr>
        <w:t>že jádrová inflace PCE se pohybuje kolem 2,6 % a hospodářský růst zpomaluje, snížení bylo téměř jisté.</w:t>
      </w:r>
    </w:p>
    <w:p w14:paraId="34A82E78" w14:textId="68ABDD45" w:rsidR="00950747" w:rsidRPr="00BA0A86" w:rsidRDefault="00950747" w:rsidP="00950747">
      <w:pPr>
        <w:spacing w:line="360" w:lineRule="auto"/>
        <w:jc w:val="both"/>
      </w:pPr>
    </w:p>
    <w:p w14:paraId="728FF618" w14:textId="77777777" w:rsidR="00BA0A86" w:rsidRPr="00BA0A86" w:rsidRDefault="00BA0A86" w:rsidP="00BA0A86">
      <w:pPr>
        <w:spacing w:line="360" w:lineRule="auto"/>
        <w:jc w:val="both"/>
        <w:rPr>
          <w:rFonts w:ascii="Invesco Interstate Light" w:eastAsiaTheme="minorEastAsia" w:hAnsi="Invesco Interstate Light"/>
          <w:sz w:val="22"/>
          <w:szCs w:val="22"/>
        </w:rPr>
      </w:pPr>
      <w:r w:rsidRPr="00BA0A86">
        <w:rPr>
          <w:rFonts w:ascii="Invesco Interstate Light" w:eastAsiaTheme="minorEastAsia" w:hAnsi="Invesco Interstate Light"/>
          <w:sz w:val="22"/>
          <w:szCs w:val="22"/>
        </w:rPr>
        <w:t xml:space="preserve">Očekávání trhu ohledně snížení sazeb </w:t>
      </w:r>
      <w:proofErr w:type="spellStart"/>
      <w:r w:rsidRPr="00BA0A86">
        <w:rPr>
          <w:rFonts w:ascii="Invesco Interstate Light" w:eastAsiaTheme="minorEastAsia" w:hAnsi="Invesco Interstate Light"/>
          <w:sz w:val="22"/>
          <w:szCs w:val="22"/>
        </w:rPr>
        <w:t>Fedu</w:t>
      </w:r>
      <w:proofErr w:type="spellEnd"/>
      <w:r w:rsidRPr="00BA0A86">
        <w:rPr>
          <w:rFonts w:ascii="Invesco Interstate Light" w:eastAsiaTheme="minorEastAsia" w:hAnsi="Invesco Interstate Light"/>
          <w:sz w:val="22"/>
          <w:szCs w:val="22"/>
        </w:rPr>
        <w:t xml:space="preserve"> prudce vzrostla, přičemž futures naznačují snížení o 110 bazických bodů do konce roku 2024 a o 235 bazických bodů do jednoho roku. I když to může znít dramaticky, je to v souladu s minulými cykly uvolňování, kdy Fed obvykle snižoval sazby o zhruba 180 bazických bodů během šesti měsíců.</w:t>
      </w:r>
    </w:p>
    <w:p w14:paraId="239E4A2E" w14:textId="77777777" w:rsidR="00950747" w:rsidRPr="00950747" w:rsidRDefault="00950747" w:rsidP="00950747">
      <w:pPr>
        <w:spacing w:line="360" w:lineRule="auto"/>
        <w:jc w:val="both"/>
      </w:pPr>
    </w:p>
    <w:p w14:paraId="5032048F" w14:textId="77777777" w:rsidR="00BA0A86" w:rsidRDefault="00BA0A86" w:rsidP="00BA0A86">
      <w:pPr>
        <w:spacing w:line="360" w:lineRule="auto"/>
        <w:jc w:val="both"/>
        <w:rPr>
          <w:rFonts w:ascii="Invesco Interstate Light" w:eastAsiaTheme="minorEastAsia" w:hAnsi="Invesco Interstate Light"/>
          <w:sz w:val="22"/>
          <w:szCs w:val="22"/>
        </w:rPr>
      </w:pPr>
      <w:r w:rsidRPr="00BA0A86">
        <w:rPr>
          <w:rFonts w:ascii="Invesco Interstate Light" w:eastAsiaTheme="minorEastAsia" w:hAnsi="Invesco Interstate Light"/>
          <w:sz w:val="22"/>
          <w:szCs w:val="22"/>
        </w:rPr>
        <w:t xml:space="preserve">Otázka zní: jak nízko sazby půjdou? Trhy předpokládají, že během příštího roku dojde k poklesu o 240 bazických bodů, čímž se sazby dostanou na úroveň kolem 3,10 %, přičemž je možné, že se dostanou až na 2,90 %. Podle </w:t>
      </w:r>
      <w:proofErr w:type="spellStart"/>
      <w:r w:rsidRPr="00BA0A86">
        <w:rPr>
          <w:rFonts w:ascii="Invesco Interstate Light" w:eastAsiaTheme="minorEastAsia" w:hAnsi="Invesco Interstate Light"/>
          <w:sz w:val="22"/>
          <w:szCs w:val="22"/>
        </w:rPr>
        <w:t>Taylorova</w:t>
      </w:r>
      <w:proofErr w:type="spellEnd"/>
      <w:r w:rsidRPr="00BA0A86">
        <w:rPr>
          <w:rFonts w:ascii="Invesco Interstate Light" w:eastAsiaTheme="minorEastAsia" w:hAnsi="Invesco Interstate Light"/>
          <w:sz w:val="22"/>
          <w:szCs w:val="22"/>
        </w:rPr>
        <w:t xml:space="preserve"> pravidla by se „neutrální“ sazba měla pohybovat kolem 4 %, pokud je inflace 2 %. Nicméně vzhledem k tomu, že mediánový odhad </w:t>
      </w:r>
      <w:proofErr w:type="spellStart"/>
      <w:r w:rsidRPr="00BA0A86">
        <w:rPr>
          <w:rFonts w:ascii="Invesco Interstate Light" w:eastAsiaTheme="minorEastAsia" w:hAnsi="Invesco Interstate Light"/>
          <w:sz w:val="22"/>
          <w:szCs w:val="22"/>
        </w:rPr>
        <w:t>Fedu</w:t>
      </w:r>
      <w:proofErr w:type="spellEnd"/>
      <w:r w:rsidRPr="00BA0A86">
        <w:rPr>
          <w:rFonts w:ascii="Invesco Interstate Light" w:eastAsiaTheme="minorEastAsia" w:hAnsi="Invesco Interstate Light"/>
          <w:sz w:val="22"/>
          <w:szCs w:val="22"/>
        </w:rPr>
        <w:t xml:space="preserve"> z června 2024 činí 2,8 %, očekáváme, že tyto prognózy po zmenšení nedávných zkreslení porostou.</w:t>
      </w:r>
    </w:p>
    <w:p w14:paraId="5856CFA6" w14:textId="77777777" w:rsidR="00BA0A86" w:rsidRPr="00BA0A86" w:rsidRDefault="00BA0A86" w:rsidP="00BA0A86">
      <w:pPr>
        <w:spacing w:line="360" w:lineRule="auto"/>
        <w:jc w:val="both"/>
      </w:pPr>
    </w:p>
    <w:p w14:paraId="58F0F9BC" w14:textId="77777777" w:rsidR="00BA0A86" w:rsidRPr="00F422BB" w:rsidRDefault="00BA0A86" w:rsidP="00F422BB">
      <w:pPr>
        <w:spacing w:line="360" w:lineRule="auto"/>
        <w:jc w:val="both"/>
        <w:rPr>
          <w:rFonts w:ascii="Invesco Interstate Light" w:eastAsiaTheme="minorEastAsia" w:hAnsi="Invesco Interstate Light"/>
          <w:sz w:val="22"/>
          <w:szCs w:val="22"/>
        </w:rPr>
      </w:pPr>
      <w:r w:rsidRPr="00F422BB">
        <w:rPr>
          <w:rFonts w:ascii="Invesco Interstate Light" w:eastAsiaTheme="minorEastAsia" w:hAnsi="Invesco Interstate Light"/>
          <w:sz w:val="22"/>
          <w:szCs w:val="22"/>
        </w:rPr>
        <w:t xml:space="preserve">Pokud se zaměříme na sklon výnosové křivky, obrázek níže ukazuje zajímavý trend: od roku 1980 desetileté výnosy obecně převyšují základní úrokové sazby v průměru o 1,15 % až 1,30 %. Tento historický vzorec naznačuje „normální“ rozpětí desetiletých výnosů v rozmezí 4,00 % až 5,00 %. Zda se do tohoto rozpětí dostaneme, bude záviset na přesnosti našich předpovědí nebo předpovědí FOMC ohledně neutrální úrokové sazby </w:t>
      </w:r>
      <w:proofErr w:type="spellStart"/>
      <w:r w:rsidRPr="00F422BB">
        <w:rPr>
          <w:rFonts w:ascii="Invesco Interstate Light" w:eastAsiaTheme="minorEastAsia" w:hAnsi="Invesco Interstate Light"/>
          <w:sz w:val="22"/>
          <w:szCs w:val="22"/>
        </w:rPr>
        <w:t>Fedu</w:t>
      </w:r>
      <w:proofErr w:type="spellEnd"/>
      <w:r w:rsidRPr="00F422BB">
        <w:rPr>
          <w:rFonts w:ascii="Invesco Interstate Light" w:eastAsiaTheme="minorEastAsia" w:hAnsi="Invesco Interstate Light"/>
          <w:sz w:val="22"/>
          <w:szCs w:val="22"/>
        </w:rPr>
        <w:t xml:space="preserve">. Pokud se bude sazba </w:t>
      </w:r>
      <w:proofErr w:type="spellStart"/>
      <w:r w:rsidRPr="00F422BB">
        <w:rPr>
          <w:rFonts w:ascii="Invesco Interstate Light" w:eastAsiaTheme="minorEastAsia" w:hAnsi="Invesco Interstate Light"/>
          <w:sz w:val="22"/>
          <w:szCs w:val="22"/>
        </w:rPr>
        <w:t>Fedu</w:t>
      </w:r>
      <w:proofErr w:type="spellEnd"/>
      <w:r w:rsidRPr="00F422BB">
        <w:rPr>
          <w:rFonts w:ascii="Invesco Interstate Light" w:eastAsiaTheme="minorEastAsia" w:hAnsi="Invesco Interstate Light"/>
          <w:sz w:val="22"/>
          <w:szCs w:val="22"/>
        </w:rPr>
        <w:t xml:space="preserve"> pohybovat v souladu s historickým vývojem, mohli bychom být svědky toho, že se desetileté výnosy pohodlně usadí v tomto očekávaném rozmezí.</w:t>
      </w:r>
    </w:p>
    <w:p w14:paraId="5367835D" w14:textId="77777777" w:rsidR="00F422BB" w:rsidRDefault="00950747" w:rsidP="00203AEC">
      <w:pPr>
        <w:autoSpaceDE w:val="0"/>
        <w:autoSpaceDN w:val="0"/>
        <w:adjustRightInd w:val="0"/>
        <w:spacing w:line="276" w:lineRule="auto"/>
        <w:rPr>
          <w:rFonts w:ascii="Invesco Interstate Light" w:hAnsi="Invesco Interstate Light"/>
          <w:b/>
          <w:bCs/>
          <w:sz w:val="22"/>
          <w:szCs w:val="22"/>
        </w:rPr>
      </w:pPr>
      <w:r>
        <w:rPr>
          <w:rFonts w:ascii="Invesco Interstate Light" w:eastAsiaTheme="minorEastAsia" w:hAnsi="Invesco Interstate Light"/>
          <w:sz w:val="22"/>
          <w:szCs w:val="22"/>
        </w:rPr>
        <w:br/>
      </w:r>
    </w:p>
    <w:p w14:paraId="13FD3CED"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1297260C"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2078D73E"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585378E4"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76BAA060"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66259EF5"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367DA2F2"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2E2E718B"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50E565B9"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2A0300F0" w14:textId="4C0871D2" w:rsidR="005B47D2" w:rsidRDefault="00950747"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 xml:space="preserve">Obrázek 1. </w:t>
      </w:r>
      <w:r w:rsidR="00F422BB" w:rsidRPr="00F422BB">
        <w:rPr>
          <w:rFonts w:ascii="Invesco Interstate Light" w:hAnsi="Invesco Interstate Light"/>
          <w:b/>
          <w:bCs/>
          <w:sz w:val="22"/>
          <w:szCs w:val="22"/>
        </w:rPr>
        <w:t xml:space="preserve">Základní úroková sazba </w:t>
      </w:r>
      <w:proofErr w:type="spellStart"/>
      <w:r w:rsidR="00F422BB" w:rsidRPr="00F422BB">
        <w:rPr>
          <w:rFonts w:ascii="Invesco Interstate Light" w:hAnsi="Invesco Interstate Light"/>
          <w:b/>
          <w:bCs/>
          <w:sz w:val="22"/>
          <w:szCs w:val="22"/>
        </w:rPr>
        <w:t>Fedu</w:t>
      </w:r>
      <w:proofErr w:type="spellEnd"/>
      <w:r w:rsidR="00F422BB" w:rsidRPr="00F422BB">
        <w:rPr>
          <w:rFonts w:ascii="Invesco Interstate Light" w:hAnsi="Invesco Interstate Light"/>
          <w:b/>
          <w:bCs/>
          <w:sz w:val="22"/>
          <w:szCs w:val="22"/>
        </w:rPr>
        <w:t xml:space="preserve"> versus desetiletý výnos </w:t>
      </w:r>
    </w:p>
    <w:p w14:paraId="0FAA2444" w14:textId="77777777" w:rsidR="00F422BB" w:rsidRDefault="00F422BB" w:rsidP="00203AEC">
      <w:pPr>
        <w:autoSpaceDE w:val="0"/>
        <w:autoSpaceDN w:val="0"/>
        <w:adjustRightInd w:val="0"/>
        <w:spacing w:line="276" w:lineRule="auto"/>
        <w:rPr>
          <w:rFonts w:ascii="Invesco Interstate Light" w:hAnsi="Invesco Interstate Light"/>
          <w:b/>
          <w:bCs/>
          <w:sz w:val="22"/>
          <w:szCs w:val="22"/>
        </w:rPr>
      </w:pPr>
    </w:p>
    <w:p w14:paraId="1FCB12D7" w14:textId="76AFBFAF" w:rsidR="00F422BB" w:rsidRDefault="00F422BB"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noProof/>
          <w:sz w:val="22"/>
          <w:szCs w:val="22"/>
        </w:rPr>
        <w:drawing>
          <wp:inline distT="0" distB="0" distL="0" distR="0" wp14:anchorId="4F599FD9" wp14:editId="50AF85A3">
            <wp:extent cx="5715000" cy="2857500"/>
            <wp:effectExtent l="0" t="0" r="0" b="0"/>
            <wp:docPr id="4171127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12759" name="Obrázek 417112759"/>
                    <pic:cNvPicPr/>
                  </pic:nvPicPr>
                  <pic:blipFill>
                    <a:blip r:embed="rId11">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4CB78B02" w14:textId="1B001CCB" w:rsidR="00CA3793" w:rsidRPr="00CA3793" w:rsidRDefault="00707257" w:rsidP="00BE1184">
      <w:pPr>
        <w:spacing w:line="240" w:lineRule="auto"/>
        <w:jc w:val="both"/>
        <w:rPr>
          <w:rFonts w:ascii="Invesco Interstate Light" w:eastAsiaTheme="minorEastAsia" w:hAnsi="Invesco Interstate Light"/>
          <w:i/>
          <w:iCs/>
        </w:rPr>
      </w:pPr>
      <w:r w:rsidRPr="00707257">
        <w:rPr>
          <w:rFonts w:ascii="Invesco Interstate Light" w:eastAsiaTheme="minorEastAsia" w:hAnsi="Invesco Interstate Light"/>
          <w:i/>
          <w:iCs/>
        </w:rPr>
        <w:t xml:space="preserve">Poznámka: Minulá výkonnost není zárukou budoucích výsledků. Měsíční data od července 1954 do srpna 2024 (k 30. srpnu 2024). Sazba </w:t>
      </w:r>
      <w:proofErr w:type="spellStart"/>
      <w:r w:rsidRPr="00707257">
        <w:rPr>
          <w:rFonts w:ascii="Invesco Interstate Light" w:eastAsiaTheme="minorEastAsia" w:hAnsi="Invesco Interstate Light"/>
          <w:i/>
          <w:iCs/>
        </w:rPr>
        <w:t>Fedu</w:t>
      </w:r>
      <w:proofErr w:type="spellEnd"/>
      <w:r w:rsidRPr="00707257">
        <w:rPr>
          <w:rFonts w:ascii="Invesco Interstate Light" w:eastAsiaTheme="minorEastAsia" w:hAnsi="Invesco Interstate Light"/>
          <w:i/>
          <w:iCs/>
        </w:rPr>
        <w:t xml:space="preserve"> je střední hodnota rozpětí úrokových sazeb </w:t>
      </w:r>
      <w:proofErr w:type="spellStart"/>
      <w:r w:rsidRPr="00707257">
        <w:rPr>
          <w:rFonts w:ascii="Invesco Interstate Light" w:eastAsiaTheme="minorEastAsia" w:hAnsi="Invesco Interstate Light"/>
          <w:i/>
          <w:iCs/>
        </w:rPr>
        <w:t>Fedu</w:t>
      </w:r>
      <w:proofErr w:type="spellEnd"/>
      <w:r w:rsidRPr="00707257">
        <w:rPr>
          <w:rFonts w:ascii="Invesco Interstate Light" w:eastAsiaTheme="minorEastAsia" w:hAnsi="Invesco Interstate Light"/>
          <w:i/>
          <w:iCs/>
        </w:rPr>
        <w:t xml:space="preserve">. „10y-Fed </w:t>
      </w:r>
      <w:proofErr w:type="spellStart"/>
      <w:r w:rsidRPr="00707257">
        <w:rPr>
          <w:rFonts w:ascii="Invesco Interstate Light" w:eastAsiaTheme="minorEastAsia" w:hAnsi="Invesco Interstate Light"/>
          <w:i/>
          <w:iCs/>
        </w:rPr>
        <w:t>Rate</w:t>
      </w:r>
      <w:proofErr w:type="spellEnd"/>
      <w:r w:rsidRPr="00707257">
        <w:rPr>
          <w:rFonts w:ascii="Invesco Interstate Light" w:eastAsiaTheme="minorEastAsia" w:hAnsi="Invesco Interstate Light"/>
          <w:i/>
          <w:iCs/>
        </w:rPr>
        <w:t xml:space="preserve">“ ukazuje průměrný rozdíl mezi desetiletými výnosy a sazbou Fed </w:t>
      </w:r>
      <w:proofErr w:type="spellStart"/>
      <w:r w:rsidRPr="00707257">
        <w:rPr>
          <w:rFonts w:ascii="Invesco Interstate Light" w:eastAsiaTheme="minorEastAsia" w:hAnsi="Invesco Interstate Light"/>
          <w:i/>
          <w:iCs/>
        </w:rPr>
        <w:t>Policy</w:t>
      </w:r>
      <w:proofErr w:type="spellEnd"/>
      <w:r w:rsidRPr="00707257">
        <w:rPr>
          <w:rFonts w:ascii="Invesco Interstate Light" w:eastAsiaTheme="minorEastAsia" w:hAnsi="Invesco Interstate Light"/>
          <w:i/>
          <w:iCs/>
        </w:rPr>
        <w:t xml:space="preserve"> </w:t>
      </w:r>
      <w:proofErr w:type="spellStart"/>
      <w:r w:rsidRPr="00707257">
        <w:rPr>
          <w:rFonts w:ascii="Invesco Interstate Light" w:eastAsiaTheme="minorEastAsia" w:hAnsi="Invesco Interstate Light"/>
          <w:i/>
          <w:iCs/>
        </w:rPr>
        <w:t>Rate</w:t>
      </w:r>
      <w:proofErr w:type="spellEnd"/>
      <w:r w:rsidRPr="00707257">
        <w:rPr>
          <w:rFonts w:ascii="Invesco Interstate Light" w:eastAsiaTheme="minorEastAsia" w:hAnsi="Invesco Interstate Light"/>
          <w:i/>
          <w:iCs/>
        </w:rPr>
        <w:t xml:space="preserve"> za dané období. „</w:t>
      </w:r>
      <w:proofErr w:type="spellStart"/>
      <w:r w:rsidRPr="00707257">
        <w:rPr>
          <w:rFonts w:ascii="Invesco Interstate Light" w:eastAsiaTheme="minorEastAsia" w:hAnsi="Invesco Interstate Light"/>
          <w:i/>
          <w:iCs/>
        </w:rPr>
        <w:t>Bretton</w:t>
      </w:r>
      <w:proofErr w:type="spellEnd"/>
      <w:r w:rsidRPr="00707257">
        <w:rPr>
          <w:rFonts w:ascii="Invesco Interstate Light" w:eastAsiaTheme="minorEastAsia" w:hAnsi="Invesco Interstate Light"/>
          <w:i/>
          <w:iCs/>
        </w:rPr>
        <w:t xml:space="preserve"> </w:t>
      </w:r>
      <w:proofErr w:type="spellStart"/>
      <w:r w:rsidRPr="00707257">
        <w:rPr>
          <w:rFonts w:ascii="Invesco Interstate Light" w:eastAsiaTheme="minorEastAsia" w:hAnsi="Invesco Interstate Light"/>
          <w:i/>
          <w:iCs/>
        </w:rPr>
        <w:t>Woods</w:t>
      </w:r>
      <w:proofErr w:type="spellEnd"/>
      <w:r w:rsidRPr="00707257">
        <w:rPr>
          <w:rFonts w:ascii="Invesco Interstate Light" w:eastAsiaTheme="minorEastAsia" w:hAnsi="Invesco Interstate Light"/>
          <w:i/>
          <w:iCs/>
        </w:rPr>
        <w:t>“ byl režim pevného směnného kurzu, který přestal fungovat na počátku 70. let 20. století. „GFC“ je globální finanční krize.</w:t>
      </w:r>
      <w:r w:rsidR="00BE1184">
        <w:rPr>
          <w:rFonts w:ascii="Invesco Interstate Light" w:eastAsiaTheme="minorEastAsia" w:hAnsi="Invesco Interstate Light"/>
          <w:i/>
          <w:iCs/>
        </w:rPr>
        <w:t xml:space="preserve"> </w:t>
      </w:r>
      <w:r w:rsidR="00CA3793" w:rsidRPr="00CA3793">
        <w:rPr>
          <w:rFonts w:ascii="Invesco Interstate Light" w:eastAsiaTheme="minorEastAsia" w:hAnsi="Invesco Interstate Light"/>
          <w:i/>
          <w:iCs/>
        </w:rPr>
        <w:t xml:space="preserve">Zdroj: LSEG </w:t>
      </w:r>
      <w:proofErr w:type="spellStart"/>
      <w:r w:rsidR="00CA3793" w:rsidRPr="00CA3793">
        <w:rPr>
          <w:rFonts w:ascii="Invesco Interstate Light" w:eastAsiaTheme="minorEastAsia" w:hAnsi="Invesco Interstate Light"/>
          <w:i/>
          <w:iCs/>
        </w:rPr>
        <w:t>Datastream</w:t>
      </w:r>
      <w:proofErr w:type="spellEnd"/>
      <w:r w:rsidR="00CA3793" w:rsidRPr="00CA3793">
        <w:rPr>
          <w:rFonts w:ascii="Invesco Interstate Light" w:eastAsiaTheme="minorEastAsia" w:hAnsi="Invesco Interstate Light"/>
          <w:i/>
          <w:iCs/>
        </w:rPr>
        <w:t xml:space="preserve"> a </w:t>
      </w:r>
      <w:proofErr w:type="spellStart"/>
      <w:r w:rsidR="00CA3793" w:rsidRPr="00CA3793">
        <w:rPr>
          <w:rFonts w:ascii="Invesco Interstate Light" w:eastAsiaTheme="minorEastAsia" w:hAnsi="Invesco Interstate Light"/>
          <w:i/>
          <w:iCs/>
        </w:rPr>
        <w:t>Invesco</w:t>
      </w:r>
      <w:proofErr w:type="spellEnd"/>
      <w:r w:rsidR="00CA3793" w:rsidRPr="00CA3793">
        <w:rPr>
          <w:rFonts w:ascii="Invesco Interstate Light" w:eastAsiaTheme="minorEastAsia" w:hAnsi="Invesco Interstate Light"/>
          <w:i/>
          <w:iCs/>
        </w:rPr>
        <w:t xml:space="preserve"> </w:t>
      </w:r>
      <w:proofErr w:type="spellStart"/>
      <w:r w:rsidR="00CA3793" w:rsidRPr="00CA3793">
        <w:rPr>
          <w:rFonts w:ascii="Invesco Interstate Light" w:eastAsiaTheme="minorEastAsia" w:hAnsi="Invesco Interstate Light"/>
          <w:i/>
          <w:iCs/>
        </w:rPr>
        <w:t>Global</w:t>
      </w:r>
      <w:proofErr w:type="spellEnd"/>
      <w:r w:rsidR="00CA3793" w:rsidRPr="00CA3793">
        <w:rPr>
          <w:rFonts w:ascii="Invesco Interstate Light" w:eastAsiaTheme="minorEastAsia" w:hAnsi="Invesco Interstate Light"/>
          <w:i/>
          <w:iCs/>
        </w:rPr>
        <w:t xml:space="preserve"> Market </w:t>
      </w:r>
      <w:proofErr w:type="spellStart"/>
      <w:r w:rsidR="00CA3793" w:rsidRPr="00CA3793">
        <w:rPr>
          <w:rFonts w:ascii="Invesco Interstate Light" w:eastAsiaTheme="minorEastAsia" w:hAnsi="Invesco Interstate Light"/>
          <w:i/>
          <w:iCs/>
        </w:rPr>
        <w:t>Strategy</w:t>
      </w:r>
      <w:proofErr w:type="spellEnd"/>
      <w:r w:rsidR="00CA3793" w:rsidRPr="00CA3793">
        <w:rPr>
          <w:rFonts w:ascii="Invesco Interstate Light" w:eastAsiaTheme="minorEastAsia" w:hAnsi="Invesco Interstate Light"/>
          <w:i/>
          <w:iCs/>
        </w:rPr>
        <w:t xml:space="preserve"> Office.</w:t>
      </w:r>
    </w:p>
    <w:p w14:paraId="0BEF791B" w14:textId="77777777" w:rsidR="0043288C" w:rsidRDefault="0043288C" w:rsidP="0043288C"/>
    <w:p w14:paraId="0463DBC7" w14:textId="41CA60C7" w:rsidR="0043288C" w:rsidRPr="0043288C" w:rsidRDefault="0043288C" w:rsidP="0043288C">
      <w:pPr>
        <w:spacing w:line="360" w:lineRule="auto"/>
        <w:jc w:val="both"/>
        <w:rPr>
          <w:rFonts w:ascii="Invesco Interstate Light" w:eastAsiaTheme="minorEastAsia" w:hAnsi="Invesco Interstate Light"/>
          <w:sz w:val="22"/>
          <w:szCs w:val="22"/>
        </w:rPr>
      </w:pPr>
      <w:r w:rsidRPr="0043288C">
        <w:rPr>
          <w:rFonts w:ascii="Invesco Interstate Light" w:eastAsiaTheme="minorEastAsia" w:hAnsi="Invesco Interstate Light"/>
          <w:sz w:val="22"/>
          <w:szCs w:val="22"/>
        </w:rPr>
        <w:t>Výnosy z nemovitosti (</w:t>
      </w:r>
      <w:proofErr w:type="spellStart"/>
      <w:r w:rsidRPr="0043288C">
        <w:rPr>
          <w:rFonts w:ascii="Invesco Interstate Light" w:eastAsiaTheme="minorEastAsia" w:hAnsi="Invesco Interstate Light"/>
          <w:sz w:val="22"/>
          <w:szCs w:val="22"/>
        </w:rPr>
        <w:t>REITs</w:t>
      </w:r>
      <w:proofErr w:type="spellEnd"/>
      <w:r w:rsidRPr="0043288C">
        <w:rPr>
          <w:rFonts w:ascii="Invesco Interstate Light" w:eastAsiaTheme="minorEastAsia" w:hAnsi="Invesco Interstate Light"/>
          <w:sz w:val="22"/>
          <w:szCs w:val="22"/>
        </w:rPr>
        <w:t>) v posledních třech měsících klesly, proto snižujeme alokaci na neutrální 4 % (z 8 %).  Alokace pro USA a EM snižujeme na nulu.  Komodity mají za sebou několik obtížných měsíců, zejména energie.  Přesto snižujeme alokaci jen na Neutrální 2 % (ze 4 %), protože se obáváme, že oslabení globální ekonomiky by mohlo ceny ještě dále snížit.  Alokaci u energií snižujeme na nulu a zaměřujeme se na zemědělství a průmyslové kovy.  Rizikem pro nás je, že geopolitické napětí (Blízký východ a Rusko/Ukrajina) by mohlo zvýšit ceny energií, ale tento faktor měl letos jen malý (pokud vůbec nějaký) vliv.  V dalším období, pokud ekonomiky do roku 2025 zrychlí, by mohlo dojít k růstu průmyslových komodit.</w:t>
      </w:r>
    </w:p>
    <w:p w14:paraId="44CF8485" w14:textId="1F56413A" w:rsidR="00950747" w:rsidRDefault="00950747" w:rsidP="00950747">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br/>
      </w:r>
      <w:r w:rsidR="0044017E">
        <w:rPr>
          <w:rFonts w:ascii="Invesco Interstate Light" w:hAnsi="Invesco Interstate Light"/>
          <w:b/>
          <w:bCs/>
          <w:sz w:val="22"/>
          <w:szCs w:val="22"/>
        </w:rPr>
        <w:t>Vliv voleb v USA na finanční trhy: Klíčové rozdíly mezi kandidáty</w:t>
      </w:r>
    </w:p>
    <w:p w14:paraId="1233B0F3" w14:textId="77777777" w:rsidR="005D42E0" w:rsidRDefault="005D42E0" w:rsidP="00950747">
      <w:pPr>
        <w:autoSpaceDE w:val="0"/>
        <w:autoSpaceDN w:val="0"/>
        <w:adjustRightInd w:val="0"/>
        <w:spacing w:line="276" w:lineRule="auto"/>
        <w:rPr>
          <w:rFonts w:ascii="Invesco Interstate Light" w:hAnsi="Invesco Interstate Light"/>
          <w:b/>
          <w:bCs/>
          <w:sz w:val="22"/>
          <w:szCs w:val="22"/>
        </w:rPr>
      </w:pPr>
    </w:p>
    <w:p w14:paraId="2F74264C" w14:textId="20CE650C" w:rsidR="00273669" w:rsidRPr="00C45D1E" w:rsidRDefault="00C45D1E" w:rsidP="00273669">
      <w:pPr>
        <w:spacing w:line="360" w:lineRule="auto"/>
        <w:jc w:val="both"/>
        <w:rPr>
          <w:rFonts w:ascii="Invesco Interstate Light" w:eastAsiaTheme="minorEastAsia" w:hAnsi="Invesco Interstate Light"/>
          <w:i/>
          <w:iCs/>
          <w:sz w:val="22"/>
          <w:szCs w:val="22"/>
        </w:rPr>
      </w:pPr>
      <w:r>
        <w:rPr>
          <w:rFonts w:ascii="Invesco Interstate Light" w:eastAsiaTheme="minorEastAsia" w:hAnsi="Invesco Interstate Light"/>
          <w:sz w:val="22"/>
          <w:szCs w:val="22"/>
        </w:rPr>
        <w:t>„</w:t>
      </w:r>
      <w:r w:rsidR="00273669" w:rsidRPr="00C45D1E">
        <w:rPr>
          <w:rFonts w:ascii="Invesco Interstate Light" w:eastAsiaTheme="minorEastAsia" w:hAnsi="Invesco Interstate Light"/>
          <w:i/>
          <w:iCs/>
          <w:sz w:val="22"/>
          <w:szCs w:val="22"/>
        </w:rPr>
        <w:t>Obecně se domníváme, že volby nemají za normálních okolností trvalejší dopad na finanční trhy. Naše historické analýzy zpochybňují tradiční názor a naznačují, že demokratičtí prezidenti byli často spojeni s lepšími hospodářskými výsledky a silnějšími akciovými trhy. Navíc se zdá, že neexistuje jasný vztah mezi mírou zdanění právnických osob a budoucími výnosy akciových trhů.</w:t>
      </w:r>
    </w:p>
    <w:p w14:paraId="52CD77A7" w14:textId="77777777" w:rsidR="00273669" w:rsidRPr="00C45D1E" w:rsidRDefault="00273669" w:rsidP="00273669">
      <w:pPr>
        <w:autoSpaceDE w:val="0"/>
        <w:autoSpaceDN w:val="0"/>
        <w:adjustRightInd w:val="0"/>
        <w:spacing w:line="360" w:lineRule="auto"/>
        <w:jc w:val="both"/>
        <w:rPr>
          <w:rFonts w:ascii="Invesco Interstate Light" w:eastAsiaTheme="minorEastAsia" w:hAnsi="Invesco Interstate Light"/>
          <w:i/>
          <w:iCs/>
          <w:sz w:val="22"/>
          <w:szCs w:val="22"/>
        </w:rPr>
      </w:pPr>
    </w:p>
    <w:p w14:paraId="78024812" w14:textId="58E426CE" w:rsidR="00273669" w:rsidRPr="00273669" w:rsidRDefault="00273669" w:rsidP="00273669">
      <w:pPr>
        <w:spacing w:line="360" w:lineRule="auto"/>
        <w:jc w:val="both"/>
        <w:rPr>
          <w:rFonts w:ascii="Invesco Interstate Light" w:eastAsiaTheme="minorEastAsia" w:hAnsi="Invesco Interstate Light"/>
          <w:sz w:val="22"/>
          <w:szCs w:val="22"/>
        </w:rPr>
      </w:pPr>
      <w:r w:rsidRPr="00C45D1E">
        <w:rPr>
          <w:rFonts w:ascii="Invesco Interstate Light" w:eastAsiaTheme="minorEastAsia" w:hAnsi="Invesco Interstate Light"/>
          <w:i/>
          <w:iCs/>
          <w:sz w:val="22"/>
          <w:szCs w:val="22"/>
        </w:rPr>
        <w:lastRenderedPageBreak/>
        <w:t>Přesto nadcházející volby v USA bedlivě sledujeme. Kandidáti reprezentují výrazné kontrasty: Donald Trump se zdá být frustrován svým omezeným vlivem na Fed, zatímco Kamala Harrisová bude pravděpodobně prosazovat jeho nezávislost. Očekává se, že Trump bude prosazovat nižší daně, a to jak jednotlivců, tak korporátní, zatímco Harrisová se zřejmě více soustředí na přerozdělování…</w:t>
      </w:r>
      <w:r w:rsidR="00C45D1E" w:rsidRPr="00C45D1E">
        <w:rPr>
          <w:rFonts w:ascii="Invesco Interstate Light" w:eastAsiaTheme="minorEastAsia" w:hAnsi="Invesco Interstate Light"/>
          <w:i/>
          <w:iCs/>
          <w:sz w:val="22"/>
          <w:szCs w:val="22"/>
        </w:rPr>
        <w:t>,“</w:t>
      </w:r>
      <w:r w:rsidR="00C45D1E">
        <w:rPr>
          <w:rFonts w:ascii="Invesco Interstate Light" w:eastAsiaTheme="minorEastAsia" w:hAnsi="Invesco Interstate Light"/>
          <w:sz w:val="22"/>
          <w:szCs w:val="22"/>
        </w:rPr>
        <w:t xml:space="preserve"> uzavírá Paul Jackson.</w:t>
      </w:r>
    </w:p>
    <w:p w14:paraId="0A13B3F2" w14:textId="40F516BE" w:rsidR="005D42E0" w:rsidRDefault="005D42E0" w:rsidP="00950747">
      <w:pPr>
        <w:autoSpaceDE w:val="0"/>
        <w:autoSpaceDN w:val="0"/>
        <w:adjustRightInd w:val="0"/>
        <w:spacing w:line="276" w:lineRule="auto"/>
        <w:rPr>
          <w:rFonts w:ascii="Invesco Interstate Light" w:hAnsi="Invesco Interstate Light"/>
          <w:b/>
          <w:bCs/>
          <w:sz w:val="22"/>
          <w:szCs w:val="22"/>
        </w:rPr>
      </w:pPr>
    </w:p>
    <w:p w14:paraId="488A3A54" w14:textId="77777777" w:rsidR="004B4CDF" w:rsidRDefault="004B4CDF" w:rsidP="004B4CDF">
      <w:pPr>
        <w:spacing w:line="360" w:lineRule="auto"/>
        <w:jc w:val="both"/>
        <w:rPr>
          <w:rFonts w:ascii="Invesco Interstate Light" w:eastAsiaTheme="minorEastAsia" w:hAnsi="Invesco Interstate Light"/>
          <w:sz w:val="22"/>
          <w:szCs w:val="22"/>
        </w:rPr>
      </w:pPr>
    </w:p>
    <w:p w14:paraId="01E72802" w14:textId="77777777" w:rsidR="004B4CDF" w:rsidRPr="00F53F8D" w:rsidRDefault="004B4CDF" w:rsidP="004B4CDF">
      <w:pPr>
        <w:spacing w:line="360" w:lineRule="auto"/>
        <w:jc w:val="both"/>
        <w:rPr>
          <w:rFonts w:ascii="Invesco Interstate Light" w:eastAsiaTheme="minorEastAsia" w:hAnsi="Invesco Interstate Light"/>
          <w:sz w:val="22"/>
          <w:szCs w:val="22"/>
        </w:rPr>
      </w:pPr>
    </w:p>
    <w:p w14:paraId="408D8C9F" w14:textId="77777777" w:rsidR="00036240" w:rsidRDefault="00036240" w:rsidP="00651AAE">
      <w:pPr>
        <w:autoSpaceDE w:val="0"/>
        <w:autoSpaceDN w:val="0"/>
        <w:adjustRightInd w:val="0"/>
        <w:spacing w:line="240" w:lineRule="auto"/>
        <w:rPr>
          <w:rFonts w:ascii="Invesco Interstate Light" w:hAnsi="Invesco Interstate Light"/>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lastRenderedPageBreak/>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2" w:history="1">
        <w:r w:rsidRPr="00873CBF">
          <w:rPr>
            <w:rFonts w:ascii="Invesco Interstate Light" w:hAnsi="Invesco Interstate Light"/>
            <w:sz w:val="22"/>
            <w:szCs w:val="22"/>
          </w:rPr>
          <w:t>eliska.krohova@crestcom.cz</w:t>
        </w:r>
      </w:hyperlink>
    </w:p>
    <w:sectPr w:rsidR="002355DD" w:rsidRPr="00907B79" w:rsidSect="00AD7532">
      <w:headerReference w:type="default" r:id="rId1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55D5" w14:textId="77777777" w:rsidR="00F24E3B" w:rsidRDefault="00F24E3B">
      <w:r>
        <w:separator/>
      </w:r>
    </w:p>
  </w:endnote>
  <w:endnote w:type="continuationSeparator" w:id="0">
    <w:p w14:paraId="4B11A433" w14:textId="77777777" w:rsidR="00F24E3B" w:rsidRDefault="00F24E3B">
      <w:r>
        <w:continuationSeparator/>
      </w:r>
    </w:p>
  </w:endnote>
  <w:endnote w:type="continuationNotice" w:id="1">
    <w:p w14:paraId="526A4C93" w14:textId="77777777" w:rsidR="00F24E3B" w:rsidRDefault="00F24E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DB767" w14:textId="77777777" w:rsidR="00F24E3B" w:rsidRDefault="00F24E3B">
      <w:r>
        <w:separator/>
      </w:r>
    </w:p>
  </w:footnote>
  <w:footnote w:type="continuationSeparator" w:id="0">
    <w:p w14:paraId="5CC36A5A" w14:textId="77777777" w:rsidR="00F24E3B" w:rsidRDefault="00F24E3B">
      <w:r>
        <w:continuationSeparator/>
      </w:r>
    </w:p>
  </w:footnote>
  <w:footnote w:type="continuationNotice" w:id="1">
    <w:p w14:paraId="103A6E02" w14:textId="77777777" w:rsidR="00F24E3B" w:rsidRDefault="00F24E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196B43C4" w:rsidR="00702C33" w:rsidRPr="000730A6" w:rsidRDefault="00F97D36" w:rsidP="0083625E">
    <w:pPr>
      <w:pStyle w:val="Zhlav"/>
      <w:pBdr>
        <w:top w:val="single" w:sz="4" w:space="3" w:color="auto"/>
      </w:pBdr>
      <w:spacing w:line="298" w:lineRule="exact"/>
      <w:ind w:left="3402"/>
      <w:jc w:val="right"/>
      <w:rPr>
        <w:color w:val="000000"/>
        <w:sz w:val="28"/>
        <w:szCs w:val="28"/>
      </w:rPr>
    </w:pPr>
    <w:r>
      <w:rPr>
        <w:color w:val="000000"/>
        <w:sz w:val="28"/>
        <w:szCs w:val="28"/>
      </w:rPr>
      <w:t>25</w:t>
    </w:r>
    <w:r w:rsidR="0083625E">
      <w:rPr>
        <w:color w:val="000000"/>
        <w:sz w:val="28"/>
        <w:szCs w:val="28"/>
      </w:rPr>
      <w:t>.</w:t>
    </w:r>
    <w:r>
      <w:rPr>
        <w:color w:val="000000"/>
        <w:sz w:val="28"/>
        <w:szCs w:val="28"/>
      </w:rPr>
      <w:t>9</w:t>
    </w:r>
    <w:r w:rsidR="0083625E">
      <w:rPr>
        <w:color w:val="000000"/>
        <w:sz w:val="28"/>
        <w:szCs w:val="28"/>
      </w:rPr>
      <w:t>.202</w:t>
    </w:r>
    <w:r w:rsidR="00FE0021">
      <w:rPr>
        <w:color w:val="000000"/>
        <w:sz w:val="28"/>
        <w:szCs w:val="28"/>
      </w:rPr>
      <w:t>4</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ED05C9"/>
    <w:multiLevelType w:val="hybridMultilevel"/>
    <w:tmpl w:val="4D181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A46D70"/>
    <w:multiLevelType w:val="multilevel"/>
    <w:tmpl w:val="11820CCE"/>
    <w:numStyleLink w:val="FormatvorlageAufgezhlt"/>
  </w:abstractNum>
  <w:abstractNum w:abstractNumId="17"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630B23"/>
    <w:multiLevelType w:val="multilevel"/>
    <w:tmpl w:val="11820CCE"/>
    <w:numStyleLink w:val="FormatvorlageAufgezhlt"/>
  </w:abstractNum>
  <w:abstractNum w:abstractNumId="25"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D403C3"/>
    <w:multiLevelType w:val="multilevel"/>
    <w:tmpl w:val="11820CCE"/>
    <w:numStyleLink w:val="FormatvorlageAufgezhlt"/>
  </w:abstractNum>
  <w:abstractNum w:abstractNumId="35" w15:restartNumberingAfterBreak="0">
    <w:nsid w:val="6C6C4721"/>
    <w:multiLevelType w:val="multilevel"/>
    <w:tmpl w:val="11820CCE"/>
    <w:numStyleLink w:val="FormatvorlageAufgezhlt"/>
  </w:abstractNum>
  <w:abstractNum w:abstractNumId="36"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E5380B"/>
    <w:multiLevelType w:val="multilevel"/>
    <w:tmpl w:val="11820CCE"/>
    <w:numStyleLink w:val="FormatvorlageAufgezhlt"/>
  </w:abstractNum>
  <w:abstractNum w:abstractNumId="39"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18"/>
  </w:num>
  <w:num w:numId="3" w16cid:durableId="1058673432">
    <w:abstractNumId w:val="30"/>
  </w:num>
  <w:num w:numId="4" w16cid:durableId="1730423567">
    <w:abstractNumId w:val="20"/>
  </w:num>
  <w:num w:numId="5" w16cid:durableId="1333148149">
    <w:abstractNumId w:val="24"/>
  </w:num>
  <w:num w:numId="6" w16cid:durableId="314455825">
    <w:abstractNumId w:val="34"/>
  </w:num>
  <w:num w:numId="7" w16cid:durableId="731198378">
    <w:abstractNumId w:val="35"/>
  </w:num>
  <w:num w:numId="8" w16cid:durableId="1195004484">
    <w:abstractNumId w:val="1"/>
  </w:num>
  <w:num w:numId="9" w16cid:durableId="47461023">
    <w:abstractNumId w:val="38"/>
  </w:num>
  <w:num w:numId="10" w16cid:durableId="1088232992">
    <w:abstractNumId w:val="16"/>
  </w:num>
  <w:num w:numId="11" w16cid:durableId="596720224">
    <w:abstractNumId w:val="4"/>
  </w:num>
  <w:num w:numId="12" w16cid:durableId="11818905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43"/>
  </w:num>
  <w:num w:numId="14" w16cid:durableId="433985897">
    <w:abstractNumId w:val="44"/>
  </w:num>
  <w:num w:numId="15" w16cid:durableId="859778437">
    <w:abstractNumId w:val="29"/>
  </w:num>
  <w:num w:numId="16" w16cid:durableId="1185170297">
    <w:abstractNumId w:val="8"/>
  </w:num>
  <w:num w:numId="17" w16cid:durableId="1553468409">
    <w:abstractNumId w:val="2"/>
  </w:num>
  <w:num w:numId="18" w16cid:durableId="2045514728">
    <w:abstractNumId w:val="33"/>
  </w:num>
  <w:num w:numId="19" w16cid:durableId="2025092752">
    <w:abstractNumId w:val="36"/>
  </w:num>
  <w:num w:numId="20" w16cid:durableId="1183128137">
    <w:abstractNumId w:val="41"/>
  </w:num>
  <w:num w:numId="21" w16cid:durableId="1771581749">
    <w:abstractNumId w:val="40"/>
  </w:num>
  <w:num w:numId="22" w16cid:durableId="1104567758">
    <w:abstractNumId w:val="15"/>
  </w:num>
  <w:num w:numId="23" w16cid:durableId="106583224">
    <w:abstractNumId w:val="28"/>
  </w:num>
  <w:num w:numId="24" w16cid:durableId="999164007">
    <w:abstractNumId w:val="22"/>
  </w:num>
  <w:num w:numId="25" w16cid:durableId="730884105">
    <w:abstractNumId w:val="42"/>
  </w:num>
  <w:num w:numId="26" w16cid:durableId="892352369">
    <w:abstractNumId w:val="27"/>
  </w:num>
  <w:num w:numId="27" w16cid:durableId="1829445642">
    <w:abstractNumId w:val="3"/>
  </w:num>
  <w:num w:numId="28" w16cid:durableId="237179842">
    <w:abstractNumId w:val="6"/>
  </w:num>
  <w:num w:numId="29" w16cid:durableId="1106922947">
    <w:abstractNumId w:val="39"/>
  </w:num>
  <w:num w:numId="30" w16cid:durableId="1370059916">
    <w:abstractNumId w:val="25"/>
  </w:num>
  <w:num w:numId="31" w16cid:durableId="1332021732">
    <w:abstractNumId w:val="26"/>
  </w:num>
  <w:num w:numId="32" w16cid:durableId="1599289510">
    <w:abstractNumId w:val="9"/>
  </w:num>
  <w:num w:numId="33" w16cid:durableId="123156381">
    <w:abstractNumId w:val="37"/>
  </w:num>
  <w:num w:numId="34" w16cid:durableId="74061241">
    <w:abstractNumId w:val="19"/>
  </w:num>
  <w:num w:numId="35" w16cid:durableId="454254969">
    <w:abstractNumId w:val="13"/>
  </w:num>
  <w:num w:numId="36" w16cid:durableId="1851555716">
    <w:abstractNumId w:val="12"/>
  </w:num>
  <w:num w:numId="37" w16cid:durableId="629167241">
    <w:abstractNumId w:val="17"/>
  </w:num>
  <w:num w:numId="38" w16cid:durableId="629282308">
    <w:abstractNumId w:val="21"/>
  </w:num>
  <w:num w:numId="39" w16cid:durableId="914512492">
    <w:abstractNumId w:val="5"/>
  </w:num>
  <w:num w:numId="40" w16cid:durableId="1909345610">
    <w:abstractNumId w:val="31"/>
  </w:num>
  <w:num w:numId="41" w16cid:durableId="331569117">
    <w:abstractNumId w:val="23"/>
  </w:num>
  <w:num w:numId="42" w16cid:durableId="346760006">
    <w:abstractNumId w:val="14"/>
  </w:num>
  <w:num w:numId="43" w16cid:durableId="643899494">
    <w:abstractNumId w:val="32"/>
  </w:num>
  <w:num w:numId="44" w16cid:durableId="1087651064">
    <w:abstractNumId w:val="11"/>
  </w:num>
  <w:num w:numId="45" w16cid:durableId="1536385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A97"/>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76C"/>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3EA"/>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9E4"/>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5B8"/>
    <w:rsid w:val="00156EE0"/>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851"/>
    <w:rsid w:val="001D1A84"/>
    <w:rsid w:val="001D1CF9"/>
    <w:rsid w:val="001D273E"/>
    <w:rsid w:val="001D3885"/>
    <w:rsid w:val="001D38CF"/>
    <w:rsid w:val="001D4289"/>
    <w:rsid w:val="001D51A9"/>
    <w:rsid w:val="001D528C"/>
    <w:rsid w:val="001D663D"/>
    <w:rsid w:val="001E0251"/>
    <w:rsid w:val="001E0458"/>
    <w:rsid w:val="001E0510"/>
    <w:rsid w:val="001E0D4F"/>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53E"/>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1C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3669"/>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28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1F75"/>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011"/>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C6415"/>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8C"/>
    <w:rsid w:val="004328F1"/>
    <w:rsid w:val="00432F6E"/>
    <w:rsid w:val="00433121"/>
    <w:rsid w:val="0043331B"/>
    <w:rsid w:val="0043351D"/>
    <w:rsid w:val="00434640"/>
    <w:rsid w:val="00434817"/>
    <w:rsid w:val="00435858"/>
    <w:rsid w:val="0043587B"/>
    <w:rsid w:val="00436DFB"/>
    <w:rsid w:val="004370D5"/>
    <w:rsid w:val="00437DC8"/>
    <w:rsid w:val="0044017E"/>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4CDF"/>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859"/>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13"/>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60"/>
    <w:rsid w:val="005860E7"/>
    <w:rsid w:val="0058632A"/>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04"/>
    <w:rsid w:val="005D4161"/>
    <w:rsid w:val="005D42E0"/>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C88"/>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D89"/>
    <w:rsid w:val="006E6F73"/>
    <w:rsid w:val="006E7834"/>
    <w:rsid w:val="006E7B5B"/>
    <w:rsid w:val="006E7BD1"/>
    <w:rsid w:val="006F0D33"/>
    <w:rsid w:val="006F1A0F"/>
    <w:rsid w:val="006F2844"/>
    <w:rsid w:val="006F29CF"/>
    <w:rsid w:val="006F4223"/>
    <w:rsid w:val="006F78B6"/>
    <w:rsid w:val="00700567"/>
    <w:rsid w:val="0070078B"/>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257"/>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022A"/>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0747"/>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B4B"/>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488"/>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159"/>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5A6E"/>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A86"/>
    <w:rsid w:val="00BA0C1E"/>
    <w:rsid w:val="00BA0FFB"/>
    <w:rsid w:val="00BA2966"/>
    <w:rsid w:val="00BA3582"/>
    <w:rsid w:val="00BA38D5"/>
    <w:rsid w:val="00BA4756"/>
    <w:rsid w:val="00BA5224"/>
    <w:rsid w:val="00BA5F1B"/>
    <w:rsid w:val="00BA7C71"/>
    <w:rsid w:val="00BB09B9"/>
    <w:rsid w:val="00BB108B"/>
    <w:rsid w:val="00BB15C2"/>
    <w:rsid w:val="00BB191C"/>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5CD"/>
    <w:rsid w:val="00BD47E8"/>
    <w:rsid w:val="00BD4AF3"/>
    <w:rsid w:val="00BD684B"/>
    <w:rsid w:val="00BD6D92"/>
    <w:rsid w:val="00BD74CE"/>
    <w:rsid w:val="00BE1184"/>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5D1E"/>
    <w:rsid w:val="00C46175"/>
    <w:rsid w:val="00C465A9"/>
    <w:rsid w:val="00C47E5B"/>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69EF"/>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3793"/>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A77"/>
    <w:rsid w:val="00CC68B0"/>
    <w:rsid w:val="00CC69AE"/>
    <w:rsid w:val="00CC6CE7"/>
    <w:rsid w:val="00CD09AE"/>
    <w:rsid w:val="00CD0C10"/>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AEE"/>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B89"/>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056"/>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0BA9"/>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54F7"/>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C39"/>
    <w:rsid w:val="00EE6FAC"/>
    <w:rsid w:val="00EE79A1"/>
    <w:rsid w:val="00EF0157"/>
    <w:rsid w:val="00EF03DD"/>
    <w:rsid w:val="00EF0CB7"/>
    <w:rsid w:val="00EF123B"/>
    <w:rsid w:val="00EF1390"/>
    <w:rsid w:val="00EF1C3B"/>
    <w:rsid w:val="00EF1F79"/>
    <w:rsid w:val="00EF2AEB"/>
    <w:rsid w:val="00EF341C"/>
    <w:rsid w:val="00EF34CB"/>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39C2"/>
    <w:rsid w:val="00F14C24"/>
    <w:rsid w:val="00F15DB4"/>
    <w:rsid w:val="00F16EAA"/>
    <w:rsid w:val="00F1732D"/>
    <w:rsid w:val="00F20A02"/>
    <w:rsid w:val="00F20D8D"/>
    <w:rsid w:val="00F20DE9"/>
    <w:rsid w:val="00F218CE"/>
    <w:rsid w:val="00F21DA4"/>
    <w:rsid w:val="00F2254B"/>
    <w:rsid w:val="00F22D04"/>
    <w:rsid w:val="00F22DA5"/>
    <w:rsid w:val="00F2324E"/>
    <w:rsid w:val="00F23449"/>
    <w:rsid w:val="00F23820"/>
    <w:rsid w:val="00F23E5B"/>
    <w:rsid w:val="00F24E3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2BB"/>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187"/>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67D4C"/>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97D3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1116</Words>
  <Characters>6585</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2024-09-25T08:06:00Z</dcterms:created>
  <dcterms:modified xsi:type="dcterms:W3CDTF">2024-09-25T08:06:00Z</dcterms:modified>
</cp:coreProperties>
</file>