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06FF" w14:textId="5F8A9648" w:rsidR="00593543" w:rsidRDefault="00744BC3"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Investování, co má dopad: Adaptace na změnu klimatu a transformace v měnícím se světě</w:t>
      </w:r>
    </w:p>
    <w:p w14:paraId="5463E692" w14:textId="128F0848" w:rsidR="00744BC3" w:rsidRPr="00744BC3" w:rsidRDefault="00744BC3" w:rsidP="00744BC3">
      <w:pPr>
        <w:spacing w:line="360" w:lineRule="auto"/>
        <w:jc w:val="both"/>
        <w:rPr>
          <w:rFonts w:ascii="Invesco Interstate Bold" w:hAnsi="Invesco Interstate Bold"/>
          <w:b/>
          <w:bCs/>
          <w:sz w:val="24"/>
          <w:szCs w:val="24"/>
        </w:rPr>
      </w:pPr>
      <w:r>
        <w:rPr>
          <w:rFonts w:ascii="Invesco Interstate Bold" w:hAnsi="Invesco Interstate Bold"/>
          <w:b/>
          <w:bCs/>
          <w:sz w:val="24"/>
          <w:szCs w:val="24"/>
        </w:rPr>
        <w:t xml:space="preserve">Rizika spojená se změnou klimatu mají dopad </w:t>
      </w:r>
      <w:r w:rsidRPr="00744BC3">
        <w:rPr>
          <w:rFonts w:ascii="Invesco Interstate Bold" w:hAnsi="Invesco Interstate Bold"/>
          <w:b/>
          <w:bCs/>
          <w:sz w:val="24"/>
          <w:szCs w:val="24"/>
        </w:rPr>
        <w:t>na naši společnost, narušují potravinovou bezpečnost, infrastrukturu, vodní systémy a pobřežní oblasti. Zvyšování hladiny moří, rozsáhlé požáry a narušení dodavatelských řetězců vyvolané prudšími a častějšími projevy nepříznivého počasí jsou jen některé příklady těchto rizik.</w:t>
      </w:r>
    </w:p>
    <w:p w14:paraId="1537280A" w14:textId="77777777" w:rsidR="00744BC3" w:rsidRDefault="00744BC3" w:rsidP="000C33E2">
      <w:pPr>
        <w:spacing w:line="360" w:lineRule="auto"/>
        <w:jc w:val="both"/>
        <w:rPr>
          <w:rFonts w:ascii="Invesco Interstate Bold" w:hAnsi="Invesco Interstate Bold"/>
          <w:b/>
          <w:bCs/>
          <w:sz w:val="24"/>
          <w:szCs w:val="24"/>
        </w:rPr>
      </w:pPr>
    </w:p>
    <w:p w14:paraId="3A5B7EA3" w14:textId="77777777" w:rsidR="00744BC3" w:rsidRPr="00744BC3" w:rsidRDefault="00744BC3" w:rsidP="00744BC3">
      <w:pPr>
        <w:spacing w:line="360" w:lineRule="auto"/>
        <w:rPr>
          <w:rFonts w:ascii="Invesco Interstate Light" w:eastAsiaTheme="minorEastAsia" w:hAnsi="Invesco Interstate Light"/>
          <w:sz w:val="22"/>
          <w:szCs w:val="22"/>
        </w:rPr>
      </w:pPr>
      <w:r w:rsidRPr="00744BC3">
        <w:rPr>
          <w:rFonts w:ascii="Invesco Interstate Light" w:eastAsiaTheme="minorEastAsia" w:hAnsi="Invesco Interstate Light"/>
          <w:sz w:val="22"/>
          <w:szCs w:val="22"/>
        </w:rPr>
        <w:t>V důsledku toho se adaptace na změnu klimatu a změna klimatu staly dvěma důležitými investičními tématy moderní doby.</w:t>
      </w:r>
    </w:p>
    <w:p w14:paraId="50BEC6D0" w14:textId="0CD04AC3" w:rsidR="00744BC3" w:rsidRDefault="00156F49" w:rsidP="0042335C">
      <w:pPr>
        <w:spacing w:line="360" w:lineRule="auto"/>
        <w:jc w:val="both"/>
      </w:pPr>
      <w:r>
        <w:br/>
      </w:r>
      <w:r w:rsidR="00744BC3" w:rsidRPr="00744BC3">
        <w:rPr>
          <w:rFonts w:ascii="Invesco Interstate Light" w:eastAsiaTheme="minorEastAsia" w:hAnsi="Invesco Interstate Light"/>
          <w:sz w:val="22"/>
          <w:szCs w:val="22"/>
        </w:rPr>
        <w:t>„Adaptace na změnu klimatu“ celkově označuje opatření přijatá vládami, nevládními organizacemi (NGO) a společnostmi s cílem přizpůsobit se a adaptovat se na současné a budoucí dopady klimatických rizik. Cílem adaptace na změnu klimatu je zvýšit odolnost komunit a ekosystémů vůči škodlivým dopadům klimatických vlivů. Klimatická transformace představuje kroky, které organizace a vlády podnikají s cílem snížit emise a přejít na nízkoemisní hospodářství.</w:t>
      </w:r>
    </w:p>
    <w:p w14:paraId="513E68B1" w14:textId="77777777" w:rsidR="0042335C" w:rsidRPr="0042335C" w:rsidRDefault="0042335C" w:rsidP="0042335C">
      <w:pPr>
        <w:spacing w:line="360" w:lineRule="auto"/>
        <w:jc w:val="both"/>
      </w:pPr>
    </w:p>
    <w:p w14:paraId="4411C525" w14:textId="77777777" w:rsidR="0042335C" w:rsidRPr="0042335C" w:rsidRDefault="0042335C" w:rsidP="0042335C">
      <w:pPr>
        <w:spacing w:line="360" w:lineRule="auto"/>
        <w:jc w:val="both"/>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t xml:space="preserve">Dnešní investice do této oblasti pomáhají zmírnit budoucí náklady související s klimatem, a to jak přímé (například fyzické poškození majetku), tak nepřímé (například vyšší náklady na pojištění). Adaptace tak může přinést trojí dividendu: zabrání ekonomickým ztrátám, přinese pozitivní zisky, ale i další sociální a environmentální přínosy. </w:t>
      </w:r>
    </w:p>
    <w:p w14:paraId="7453B1ED" w14:textId="77777777" w:rsidR="000C33E2" w:rsidRDefault="000C33E2" w:rsidP="000C33E2">
      <w:pPr>
        <w:spacing w:line="360" w:lineRule="auto"/>
        <w:jc w:val="both"/>
        <w:rPr>
          <w:rFonts w:ascii="Invesco Interstate Light" w:eastAsiaTheme="minorEastAsia" w:hAnsi="Invesco Interstate Light"/>
          <w:sz w:val="22"/>
          <w:szCs w:val="22"/>
        </w:rPr>
      </w:pPr>
    </w:p>
    <w:p w14:paraId="097BFB18" w14:textId="77777777" w:rsidR="0042335C" w:rsidRPr="0042335C" w:rsidRDefault="0042335C" w:rsidP="0042335C">
      <w:pPr>
        <w:spacing w:line="360" w:lineRule="auto"/>
        <w:jc w:val="both"/>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t>Podle konzervativních odhadů, aby bylo možné v tomto desetiletí dojít k udržitelnějšímu světu, by měly finanční toky v oblasti klimatu do roku 2030 dosáhnout 4,3 bilionu amerických dolarů ročně. Jen rozvojové ekonomiky budou do roku 2030 potřebovat až 300 miliard dolarů ročně na přizpůsobení svého zemědělství, infrastruktury, zásobování vodou a dalších částí ekonomiky, aby vyvážily fyzické dopady dopadů klimatu.</w:t>
      </w:r>
    </w:p>
    <w:p w14:paraId="41CDA692" w14:textId="77777777" w:rsidR="0042335C" w:rsidRDefault="0042335C" w:rsidP="000C33E2">
      <w:pPr>
        <w:spacing w:line="360" w:lineRule="auto"/>
        <w:jc w:val="both"/>
        <w:rPr>
          <w:rFonts w:ascii="Invesco Interstate Light" w:eastAsiaTheme="minorEastAsia" w:hAnsi="Invesco Interstate Light"/>
          <w:sz w:val="22"/>
          <w:szCs w:val="22"/>
        </w:rPr>
      </w:pPr>
    </w:p>
    <w:p w14:paraId="0A9E77F5" w14:textId="77777777" w:rsidR="0042335C" w:rsidRPr="0042335C" w:rsidRDefault="0042335C" w:rsidP="0042335C">
      <w:pPr>
        <w:spacing w:line="360" w:lineRule="auto"/>
        <w:jc w:val="both"/>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t>Rozvojové země, které jsou nejvíce závislé na přírodních zdrojích, však často nemají dostatek finančních prostředků a institucionálních kapacit, aby mohly zavést adaptační programy na ochranu lidí a jejich živobytí.</w:t>
      </w:r>
    </w:p>
    <w:p w14:paraId="5AEB9316" w14:textId="77777777" w:rsidR="0042335C" w:rsidRDefault="0042335C" w:rsidP="0042335C">
      <w:pPr>
        <w:spacing w:before="100" w:beforeAutospacing="1" w:after="100" w:afterAutospacing="1" w:line="276" w:lineRule="auto"/>
        <w:jc w:val="both"/>
        <w:rPr>
          <w:rFonts w:ascii="Invesco Interstate Light" w:eastAsiaTheme="minorEastAsia" w:hAnsi="Invesco Interstate Light"/>
          <w:sz w:val="22"/>
          <w:szCs w:val="22"/>
        </w:rPr>
      </w:pPr>
    </w:p>
    <w:p w14:paraId="18D03471" w14:textId="77777777" w:rsidR="0042335C" w:rsidRDefault="0042335C" w:rsidP="0042335C">
      <w:pPr>
        <w:spacing w:before="100" w:beforeAutospacing="1" w:after="100" w:afterAutospacing="1" w:line="276" w:lineRule="auto"/>
        <w:jc w:val="both"/>
        <w:rPr>
          <w:rFonts w:ascii="Invesco Interstate Light" w:eastAsiaTheme="minorEastAsia" w:hAnsi="Invesco Interstate Light"/>
          <w:sz w:val="22"/>
          <w:szCs w:val="22"/>
        </w:rPr>
      </w:pPr>
    </w:p>
    <w:p w14:paraId="0A8A82D5" w14:textId="4B0B53FC" w:rsidR="000C33E2" w:rsidRPr="0042335C" w:rsidRDefault="0042335C" w:rsidP="0042335C">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lastRenderedPageBreak/>
        <w:t>Přizpůsobení se změně klimatu</w:t>
      </w:r>
    </w:p>
    <w:p w14:paraId="7E437AD3" w14:textId="77777777" w:rsidR="0042335C" w:rsidRPr="0042335C" w:rsidRDefault="0042335C" w:rsidP="0042335C">
      <w:pPr>
        <w:spacing w:line="360" w:lineRule="auto"/>
        <w:jc w:val="both"/>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t>Snahy o přizpůsobení se klimatu jsou stejně rozmanité jako dopady klimatu na společnost. Zahrnují iniciativy, jako je výstavba zdí u moře na ochranu majetku před povodněmi, vývoj systémů včasného varování před povětrnostními jevy a pěstování plodin odolných vůči suchu.</w:t>
      </w:r>
    </w:p>
    <w:p w14:paraId="2E4C2A54" w14:textId="0C5488D4" w:rsidR="000C33E2" w:rsidRPr="0042335C" w:rsidRDefault="0042335C" w:rsidP="0042335C">
      <w:pPr>
        <w:spacing w:before="100" w:beforeAutospacing="1" w:after="100" w:afterAutospacing="1" w:line="276" w:lineRule="auto"/>
        <w:jc w:val="both"/>
        <w:rPr>
          <w:rFonts w:ascii="Invesco Interstate Light" w:eastAsiaTheme="minorEastAsia" w:hAnsi="Invesco Interstate Light"/>
          <w:b/>
          <w:bCs/>
          <w:sz w:val="22"/>
          <w:szCs w:val="22"/>
        </w:rPr>
      </w:pPr>
      <w:r w:rsidRPr="0042335C">
        <w:rPr>
          <w:rFonts w:ascii="Invesco Interstate Light" w:eastAsiaTheme="minorEastAsia" w:hAnsi="Invesco Interstate Light"/>
          <w:b/>
          <w:bCs/>
          <w:sz w:val="22"/>
          <w:szCs w:val="22"/>
        </w:rPr>
        <w:t>Obrázek 1: Jak se mohou země přizpůsobit klimatickým rizikům</w:t>
      </w:r>
    </w:p>
    <w:p w14:paraId="12848689" w14:textId="77777777" w:rsidR="0042335C" w:rsidRDefault="0042335C" w:rsidP="000C33E2">
      <w:pPr>
        <w:spacing w:line="360" w:lineRule="auto"/>
        <w:jc w:val="both"/>
        <w:rPr>
          <w:rFonts w:ascii="Invesco Interstate Light" w:eastAsiaTheme="minorEastAsia" w:hAnsi="Invesco Interstate Light"/>
          <w:sz w:val="22"/>
          <w:szCs w:val="22"/>
        </w:rPr>
      </w:pPr>
      <w:r w:rsidRPr="00ED7F68">
        <w:rPr>
          <w:noProof/>
        </w:rPr>
        <w:drawing>
          <wp:inline distT="0" distB="0" distL="0" distR="0" wp14:anchorId="3EC8E376" wp14:editId="3BCB04F4">
            <wp:extent cx="5760720" cy="3240405"/>
            <wp:effectExtent l="0" t="0" r="0" b="0"/>
            <wp:docPr id="693906258" name="Obrázek 4" descr="How can countries adapt to climate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w can countries adapt to climate ri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3F5BEDC4" w14:textId="77777777" w:rsidR="0042335C" w:rsidRDefault="0042335C" w:rsidP="000C33E2">
      <w:pPr>
        <w:spacing w:line="360" w:lineRule="auto"/>
        <w:jc w:val="both"/>
        <w:rPr>
          <w:rFonts w:ascii="Invesco Interstate Light" w:eastAsiaTheme="minorEastAsia" w:hAnsi="Invesco Interstate Light"/>
          <w:sz w:val="22"/>
          <w:szCs w:val="22"/>
        </w:rPr>
      </w:pPr>
    </w:p>
    <w:p w14:paraId="63537EA2" w14:textId="77777777" w:rsidR="0042335C" w:rsidRPr="0042335C" w:rsidRDefault="0042335C" w:rsidP="0042335C">
      <w:pPr>
        <w:spacing w:line="360" w:lineRule="auto"/>
        <w:jc w:val="both"/>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t>Nedávné financování úsilí rozvojových zemí o přizpůsobení se změně klimatu probíhalo převážně prostřednictvím vydávání zelených, sociálních a udržitelných dluhopisů (GSS). Ačkoli je trh s těmito dluhopisy stále v počáteční fázi, domníváme se, že je zde velký prostor pro růst. Jak je vidět na obrázku 2 níže, emise dluhopisů GSS rychle rostou s tím, jak vlády a podniky zvyšují své úsilí o řešení dopadů na klima a dosažení nulových emisních cílů. Výnosy z těchto dluhopisů se používají na realizaci pozitivních environmentálních nebo sociálních projektů a pomáhají státním, podnikovým a finančním institucím dosahovat cílů udržitelného rozvoje (</w:t>
      </w:r>
      <w:proofErr w:type="spellStart"/>
      <w:r w:rsidRPr="0042335C">
        <w:rPr>
          <w:rFonts w:ascii="Invesco Interstate Light" w:eastAsiaTheme="minorEastAsia" w:hAnsi="Invesco Interstate Light"/>
          <w:sz w:val="22"/>
          <w:szCs w:val="22"/>
        </w:rPr>
        <w:t>SDGs</w:t>
      </w:r>
      <w:proofErr w:type="spellEnd"/>
      <w:r w:rsidRPr="0042335C">
        <w:rPr>
          <w:rFonts w:ascii="Invesco Interstate Light" w:eastAsiaTheme="minorEastAsia" w:hAnsi="Invesco Interstate Light"/>
          <w:sz w:val="22"/>
          <w:szCs w:val="22"/>
        </w:rPr>
        <w:t>). Země jako Seychely, Belize a Barbados využily inovativní přístupy k dluhopisům GSS směnou „dluh za přírodu“. V tomto případě je část zahraničního dluhu země zrušena výměnou za investici do konkrétně ochrany moří.</w:t>
      </w:r>
    </w:p>
    <w:p w14:paraId="7AD73D00" w14:textId="77777777" w:rsidR="000C33E2" w:rsidRPr="00156F49" w:rsidRDefault="000C33E2" w:rsidP="000C33E2">
      <w:pPr>
        <w:spacing w:line="360" w:lineRule="auto"/>
        <w:jc w:val="both"/>
        <w:rPr>
          <w:rFonts w:ascii="Invesco Interstate Light" w:eastAsiaTheme="minorEastAsia" w:hAnsi="Invesco Interstate Light"/>
          <w:sz w:val="22"/>
          <w:szCs w:val="22"/>
        </w:rPr>
      </w:pPr>
    </w:p>
    <w:p w14:paraId="02306EBD" w14:textId="59A81EDB" w:rsidR="0042335C" w:rsidRPr="0042335C" w:rsidRDefault="0042335C" w:rsidP="0042335C">
      <w:pPr>
        <w:spacing w:before="100" w:beforeAutospacing="1" w:after="100" w:afterAutospacing="1" w:line="276" w:lineRule="auto"/>
        <w:jc w:val="both"/>
        <w:rPr>
          <w:rFonts w:ascii="Invesco Interstate Light" w:eastAsiaTheme="minorEastAsia" w:hAnsi="Invesco Interstate Light"/>
          <w:b/>
          <w:bCs/>
          <w:sz w:val="22"/>
          <w:szCs w:val="22"/>
        </w:rPr>
      </w:pPr>
      <w:r w:rsidRPr="0042335C">
        <w:rPr>
          <w:rFonts w:ascii="Invesco Interstate Light" w:eastAsiaTheme="minorEastAsia" w:hAnsi="Invesco Interstate Light"/>
          <w:b/>
          <w:bCs/>
          <w:sz w:val="22"/>
          <w:szCs w:val="22"/>
        </w:rPr>
        <w:lastRenderedPageBreak/>
        <w:t xml:space="preserve">Obrázek </w:t>
      </w:r>
      <w:r>
        <w:rPr>
          <w:rFonts w:ascii="Invesco Interstate Light" w:eastAsiaTheme="minorEastAsia" w:hAnsi="Invesco Interstate Light"/>
          <w:b/>
          <w:bCs/>
          <w:sz w:val="22"/>
          <w:szCs w:val="22"/>
        </w:rPr>
        <w:t>2</w:t>
      </w:r>
      <w:r w:rsidRPr="0042335C">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Emise zelených dluhopisů na rozvíjejících se trzích</w:t>
      </w:r>
    </w:p>
    <w:p w14:paraId="45553CBE" w14:textId="3F5A5106" w:rsidR="0042335C" w:rsidRDefault="0042335C" w:rsidP="0042335C">
      <w:pPr>
        <w:spacing w:line="360" w:lineRule="auto"/>
        <w:jc w:val="right"/>
        <w:rPr>
          <w:rFonts w:ascii="Invesco Interstate Light" w:eastAsiaTheme="minorEastAsia" w:hAnsi="Invesco Interstate Light"/>
        </w:rPr>
      </w:pPr>
      <w:r w:rsidRPr="0042335C">
        <w:rPr>
          <w:rFonts w:ascii="Invesco Interstate Light" w:eastAsiaTheme="minorEastAsia" w:hAnsi="Invesco Interstate Light"/>
          <w:noProof/>
          <w:sz w:val="22"/>
          <w:szCs w:val="22"/>
        </w:rPr>
        <w:drawing>
          <wp:inline distT="0" distB="0" distL="0" distR="0" wp14:anchorId="0BA360C0" wp14:editId="58FDE77A">
            <wp:extent cx="6108065" cy="3388360"/>
            <wp:effectExtent l="0" t="0" r="6985" b="2540"/>
            <wp:docPr id="17305802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80254" name=""/>
                    <pic:cNvPicPr/>
                  </pic:nvPicPr>
                  <pic:blipFill>
                    <a:blip r:embed="rId12"/>
                    <a:stretch>
                      <a:fillRect/>
                    </a:stretch>
                  </pic:blipFill>
                  <pic:spPr>
                    <a:xfrm>
                      <a:off x="0" y="0"/>
                      <a:ext cx="6108065" cy="3388360"/>
                    </a:xfrm>
                    <a:prstGeom prst="rect">
                      <a:avLst/>
                    </a:prstGeom>
                  </pic:spPr>
                </pic:pic>
              </a:graphicData>
            </a:graphic>
          </wp:inline>
        </w:drawing>
      </w:r>
      <w:r w:rsidRPr="0042335C">
        <w:rPr>
          <w:rFonts w:ascii="Invesco Interstate Light" w:eastAsiaTheme="minorEastAsia" w:hAnsi="Invesco Interstate Light"/>
        </w:rPr>
        <w:t>Zdroj: Iniciativa pro dluhopisy na ochranu klimatu</w:t>
      </w:r>
    </w:p>
    <w:p w14:paraId="2E77F094" w14:textId="77777777" w:rsidR="0042335C" w:rsidRPr="0042335C" w:rsidRDefault="0042335C" w:rsidP="0042335C">
      <w:pPr>
        <w:spacing w:line="360" w:lineRule="auto"/>
        <w:jc w:val="both"/>
        <w:rPr>
          <w:rFonts w:ascii="Invesco Interstate Light" w:eastAsiaTheme="minorEastAsia" w:hAnsi="Invesco Interstate Light"/>
          <w:sz w:val="22"/>
          <w:szCs w:val="22"/>
        </w:rPr>
      </w:pPr>
    </w:p>
    <w:p w14:paraId="537E0539" w14:textId="77777777" w:rsidR="0042335C" w:rsidRPr="0042335C" w:rsidRDefault="0042335C" w:rsidP="0042335C">
      <w:pPr>
        <w:spacing w:line="360" w:lineRule="auto"/>
        <w:jc w:val="both"/>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t>Egypt prodal zelené dluhopisy v hodnotě 750 milionů dolarů na investice do oblastí, jako je čistá doprava a obnovitelné zdroje energie. Na Maledivách se na pomoc městům při adaptaci použily „zelené adaptační dluhopisy“ v hodnotě 250 milionů dolarů. Některé projekty dokonce využívají nové inovativní přístupy. Mezi to patří financování malých vodohospodářských a hygienických řešení vyvinutých speciálně pro skupiny obyvatelstva, které jsou neúměrně zasaženy klimatickými riziky, jako jsou ženy a chudí lidé.</w:t>
      </w:r>
    </w:p>
    <w:p w14:paraId="3581E161" w14:textId="2E0C9772" w:rsidR="000C33E2" w:rsidRPr="0042335C" w:rsidRDefault="0042335C" w:rsidP="0042335C">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Případová studie</w:t>
      </w:r>
    </w:p>
    <w:p w14:paraId="032F29A2" w14:textId="77777777" w:rsidR="0042335C" w:rsidRPr="0042335C" w:rsidRDefault="0042335C" w:rsidP="0042335C">
      <w:pPr>
        <w:spacing w:line="360" w:lineRule="auto"/>
        <w:jc w:val="both"/>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t xml:space="preserve">Fond zaměřený výhradně na řešení problematiky vody a hygieny od svého vzniku v roce 2021 zajistil bezpečnou vodu nebo hygienu více než 942 000 lidem. Spotřebitelům s nízkými příjmy bylo poskytnuto téměř 175 000 </w:t>
      </w:r>
      <w:proofErr w:type="spellStart"/>
      <w:r w:rsidRPr="0042335C">
        <w:rPr>
          <w:rFonts w:ascii="Invesco Interstate Light" w:eastAsiaTheme="minorEastAsia" w:hAnsi="Invesco Interstate Light"/>
          <w:sz w:val="22"/>
          <w:szCs w:val="22"/>
        </w:rPr>
        <w:t>mikropůjček</w:t>
      </w:r>
      <w:proofErr w:type="spellEnd"/>
      <w:r w:rsidRPr="0042335C">
        <w:rPr>
          <w:rFonts w:ascii="Invesco Interstate Light" w:eastAsiaTheme="minorEastAsia" w:hAnsi="Invesco Interstate Light"/>
          <w:sz w:val="22"/>
          <w:szCs w:val="22"/>
        </w:rPr>
        <w:t>, což představuje více než 75 milionů dolarů na financování vody a sanitace.</w:t>
      </w:r>
    </w:p>
    <w:p w14:paraId="6754E96B" w14:textId="61310035" w:rsidR="000C33E2" w:rsidRPr="0042335C" w:rsidRDefault="0042335C" w:rsidP="0042335C">
      <w:pPr>
        <w:spacing w:before="100" w:beforeAutospacing="1" w:after="100" w:afterAutospacing="1" w:line="276" w:lineRule="auto"/>
        <w:jc w:val="both"/>
        <w:rPr>
          <w:rFonts w:ascii="Invesco Interstate Light" w:eastAsiaTheme="minorEastAsia" w:hAnsi="Invesco Interstate Light"/>
          <w:b/>
          <w:bCs/>
          <w:sz w:val="22"/>
          <w:szCs w:val="22"/>
        </w:rPr>
      </w:pPr>
      <w:r w:rsidRPr="0042335C">
        <w:rPr>
          <w:rFonts w:ascii="Invesco Interstate Light" w:eastAsiaTheme="minorEastAsia" w:hAnsi="Invesco Interstate Light"/>
          <w:b/>
          <w:bCs/>
          <w:sz w:val="22"/>
          <w:szCs w:val="22"/>
        </w:rPr>
        <w:t>Jak může investiční průmysl mobilizovat finanční prostředky na přizpůsobení se změně klimatu?</w:t>
      </w:r>
    </w:p>
    <w:p w14:paraId="704F0749" w14:textId="77777777" w:rsidR="0042335C" w:rsidRDefault="0042335C" w:rsidP="0042335C">
      <w:pPr>
        <w:spacing w:line="360" w:lineRule="auto"/>
        <w:jc w:val="both"/>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t>Dosud hrál hlavní roli ve financování projektů adaptace na změnu klimatu širší veřejný sektor, včetně mnohostranných rozvojových bank a rozvojových finančních institucí.</w:t>
      </w:r>
    </w:p>
    <w:p w14:paraId="17D1ECC6" w14:textId="77777777" w:rsidR="0042335C" w:rsidRDefault="0042335C" w:rsidP="0042335C">
      <w:pPr>
        <w:spacing w:line="360" w:lineRule="auto"/>
        <w:jc w:val="both"/>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lastRenderedPageBreak/>
        <w:t xml:space="preserve">MMF nedávno zřídil fond </w:t>
      </w:r>
      <w:proofErr w:type="spellStart"/>
      <w:r w:rsidRPr="0042335C">
        <w:rPr>
          <w:rFonts w:ascii="Invesco Interstate Light" w:eastAsiaTheme="minorEastAsia" w:hAnsi="Invesco Interstate Light"/>
          <w:sz w:val="22"/>
          <w:szCs w:val="22"/>
        </w:rPr>
        <w:t>Resilience</w:t>
      </w:r>
      <w:proofErr w:type="spellEnd"/>
      <w:r w:rsidRPr="0042335C">
        <w:rPr>
          <w:rFonts w:ascii="Invesco Interstate Light" w:eastAsiaTheme="minorEastAsia" w:hAnsi="Invesco Interstate Light"/>
          <w:sz w:val="22"/>
          <w:szCs w:val="22"/>
        </w:rPr>
        <w:t xml:space="preserve"> and </w:t>
      </w:r>
      <w:proofErr w:type="spellStart"/>
      <w:r w:rsidRPr="0042335C">
        <w:rPr>
          <w:rFonts w:ascii="Invesco Interstate Light" w:eastAsiaTheme="minorEastAsia" w:hAnsi="Invesco Interstate Light"/>
          <w:sz w:val="22"/>
          <w:szCs w:val="22"/>
        </w:rPr>
        <w:t>Sustainability</w:t>
      </w:r>
      <w:proofErr w:type="spellEnd"/>
      <w:r w:rsidRPr="0042335C">
        <w:rPr>
          <w:rFonts w:ascii="Invesco Interstate Light" w:eastAsiaTheme="minorEastAsia" w:hAnsi="Invesco Interstate Light"/>
          <w:sz w:val="22"/>
          <w:szCs w:val="22"/>
        </w:rPr>
        <w:t xml:space="preserve"> Trust, vůbec první dlouhodobý nástroj financování, který je dostupný a určený na podporu zranitelných zemí řešících problémy spojené s klimatickými katastrofami. Zpráva Globálního centra pro přizpůsobení se změně klimatu (</w:t>
      </w:r>
      <w:proofErr w:type="spellStart"/>
      <w:r w:rsidRPr="0042335C">
        <w:rPr>
          <w:rFonts w:ascii="Invesco Interstate Light" w:eastAsiaTheme="minorEastAsia" w:hAnsi="Invesco Interstate Light"/>
          <w:sz w:val="22"/>
          <w:szCs w:val="22"/>
        </w:rPr>
        <w:t>Global</w:t>
      </w:r>
      <w:proofErr w:type="spellEnd"/>
      <w:r w:rsidRPr="0042335C">
        <w:rPr>
          <w:rFonts w:ascii="Invesco Interstate Light" w:eastAsiaTheme="minorEastAsia" w:hAnsi="Invesco Interstate Light"/>
          <w:sz w:val="22"/>
          <w:szCs w:val="22"/>
        </w:rPr>
        <w:t xml:space="preserve"> Center </w:t>
      </w:r>
      <w:proofErr w:type="spellStart"/>
      <w:r w:rsidRPr="0042335C">
        <w:rPr>
          <w:rFonts w:ascii="Invesco Interstate Light" w:eastAsiaTheme="minorEastAsia" w:hAnsi="Invesco Interstate Light"/>
          <w:sz w:val="22"/>
          <w:szCs w:val="22"/>
        </w:rPr>
        <w:t>for</w:t>
      </w:r>
      <w:proofErr w:type="spellEnd"/>
      <w:r w:rsidRPr="0042335C">
        <w:rPr>
          <w:rFonts w:ascii="Invesco Interstate Light" w:eastAsiaTheme="minorEastAsia" w:hAnsi="Invesco Interstate Light"/>
          <w:sz w:val="22"/>
          <w:szCs w:val="22"/>
        </w:rPr>
        <w:t xml:space="preserve"> </w:t>
      </w:r>
      <w:proofErr w:type="spellStart"/>
      <w:r w:rsidRPr="0042335C">
        <w:rPr>
          <w:rFonts w:ascii="Invesco Interstate Light" w:eastAsiaTheme="minorEastAsia" w:hAnsi="Invesco Interstate Light"/>
          <w:sz w:val="22"/>
          <w:szCs w:val="22"/>
        </w:rPr>
        <w:t>Adaptation</w:t>
      </w:r>
      <w:proofErr w:type="spellEnd"/>
      <w:r w:rsidRPr="0042335C">
        <w:rPr>
          <w:rFonts w:ascii="Invesco Interstate Light" w:eastAsiaTheme="minorEastAsia" w:hAnsi="Invesco Interstate Light"/>
          <w:sz w:val="22"/>
          <w:szCs w:val="22"/>
        </w:rPr>
        <w:t xml:space="preserve">, GCA) však naznačuje, že „jen veřejné výdaje nemohou pokrýt nedostatek financí na přizpůsobení se změně klimatu, takže investice soukromého sektoru se musí postavit vedle veřejných investic, aby doplnily omezené veřejné zdroje. “ </w:t>
      </w:r>
    </w:p>
    <w:p w14:paraId="74957C76" w14:textId="77777777" w:rsidR="0042335C" w:rsidRDefault="0042335C" w:rsidP="0042335C">
      <w:pPr>
        <w:spacing w:line="360" w:lineRule="auto"/>
        <w:jc w:val="both"/>
        <w:rPr>
          <w:rFonts w:ascii="Invesco Interstate Light" w:eastAsiaTheme="minorEastAsia" w:hAnsi="Invesco Interstate Light"/>
          <w:sz w:val="22"/>
          <w:szCs w:val="22"/>
        </w:rPr>
      </w:pPr>
    </w:p>
    <w:p w14:paraId="453FCCAC" w14:textId="77777777" w:rsidR="0042335C" w:rsidRDefault="0042335C" w:rsidP="0042335C">
      <w:pPr>
        <w:spacing w:line="360" w:lineRule="auto"/>
        <w:rPr>
          <w:rFonts w:ascii="Invesco Interstate Light" w:eastAsiaTheme="minorEastAsia" w:hAnsi="Invesco Interstate Light"/>
          <w:sz w:val="22"/>
          <w:szCs w:val="22"/>
        </w:rPr>
      </w:pPr>
      <w:r w:rsidRPr="0042335C">
        <w:rPr>
          <w:rFonts w:ascii="Invesco Interstate Light" w:eastAsiaTheme="minorEastAsia" w:hAnsi="Invesco Interstate Light"/>
          <w:sz w:val="22"/>
          <w:szCs w:val="22"/>
        </w:rPr>
        <w:t>GCA bylo založeno v roce 2018 s cílem podpořit financování úsilí o přizpůsobení se změně klimatu ze strany vlád a soukromého sektoru. Investiční průmysl může institucionálním klientům nabídnout možnost zvýšit investice do přizpůsobování se změně klimatu v rozvojových zemích.</w:t>
      </w:r>
    </w:p>
    <w:p w14:paraId="11E387BC" w14:textId="77777777" w:rsidR="0042335C" w:rsidRDefault="0042335C" w:rsidP="0042335C">
      <w:pPr>
        <w:spacing w:line="360" w:lineRule="auto"/>
        <w:rPr>
          <w:rFonts w:ascii="Invesco Interstate Light" w:eastAsiaTheme="minorEastAsia" w:hAnsi="Invesco Interstate Light"/>
          <w:sz w:val="22"/>
          <w:szCs w:val="22"/>
        </w:rPr>
      </w:pPr>
    </w:p>
    <w:p w14:paraId="76EB684A" w14:textId="77777777" w:rsidR="00032DC6" w:rsidRPr="00032DC6" w:rsidRDefault="00032DC6" w:rsidP="00032DC6">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Multilaterální a nadnárodní organizace stále více spolupracují se správci aktiv a dalšími institucemi na vývoji a emisi dluhopisů na ochranu klimatu. Asijská banka pro rozvoj infrastruktury nedávno uvedla na trh své první dluhopisy k přizpůsobení se změně klimatu. Investice budou zahrnovat vodní hospodářství, rozvoj měst, dopravu a energetiku.</w:t>
      </w:r>
    </w:p>
    <w:p w14:paraId="4CF9D6BC" w14:textId="77777777" w:rsidR="0042335C" w:rsidRPr="0042335C" w:rsidRDefault="0042335C" w:rsidP="0042335C">
      <w:pPr>
        <w:spacing w:line="360" w:lineRule="auto"/>
        <w:rPr>
          <w:rFonts w:ascii="Invesco Interstate Light" w:eastAsiaTheme="minorEastAsia" w:hAnsi="Invesco Interstate Light"/>
          <w:sz w:val="22"/>
          <w:szCs w:val="22"/>
        </w:rPr>
      </w:pPr>
    </w:p>
    <w:p w14:paraId="3CC33159" w14:textId="77777777" w:rsidR="00032DC6" w:rsidRPr="00032DC6" w:rsidRDefault="00032DC6" w:rsidP="00032DC6">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Problémy přetrvávají, protože emisím zelených, sociálních a udržitelných dluhopisů GSS dominují emitenti z rozvinutých trhů a jsou navíc orientovány na projekty zmírňování dopadů změny klimatu v odvětvích energetiky a dopravy. To je ve srovnání s ostatními adaptačními projekty stále financováno ve velkém rozsahu.</w:t>
      </w:r>
    </w:p>
    <w:p w14:paraId="6E0808A0" w14:textId="77777777" w:rsidR="0042335C" w:rsidRPr="0042335C" w:rsidRDefault="0042335C" w:rsidP="0042335C">
      <w:pPr>
        <w:spacing w:line="360" w:lineRule="auto"/>
        <w:jc w:val="both"/>
        <w:rPr>
          <w:rFonts w:ascii="Invesco Interstate Light" w:eastAsiaTheme="minorEastAsia" w:hAnsi="Invesco Interstate Light"/>
          <w:sz w:val="22"/>
          <w:szCs w:val="22"/>
        </w:rPr>
      </w:pPr>
    </w:p>
    <w:p w14:paraId="56ABCC85" w14:textId="200FED82" w:rsidR="0042335C" w:rsidRPr="0042335C" w:rsidRDefault="00032DC6" w:rsidP="0042335C">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Pro splnění institucionálních standardů a uvolnění soukromého kapitálu ve velkém měřítku je zapotřebí, aby emitenti ve větší míře zveřejňovali informace o původu a tyto informace byly standardizované. Emitenti v rozvojových zemích potřebují více technické pomoci, aby ukázali, jak dluhové nástroje GSS fungují v praxi, včetně pokynů, jak se vybírají a hodnotí způsobilé adaptační projekty, jak se podávají zprávy o dopadech a jakou roli hrají externí hodnotitelé.</w:t>
      </w:r>
    </w:p>
    <w:p w14:paraId="0B3A5B3A" w14:textId="40BA54A4" w:rsidR="000C33E2" w:rsidRPr="00032DC6" w:rsidRDefault="00032DC6" w:rsidP="00032DC6">
      <w:pPr>
        <w:spacing w:before="100" w:beforeAutospacing="1" w:after="100" w:afterAutospacing="1" w:line="276" w:lineRule="auto"/>
        <w:jc w:val="both"/>
        <w:rPr>
          <w:rFonts w:ascii="Invesco Interstate Light" w:eastAsiaTheme="minorEastAsia" w:hAnsi="Invesco Interstate Light"/>
          <w:b/>
          <w:bCs/>
          <w:sz w:val="22"/>
          <w:szCs w:val="22"/>
        </w:rPr>
      </w:pPr>
      <w:r w:rsidRPr="00032DC6">
        <w:rPr>
          <w:rFonts w:ascii="Invesco Interstate Light" w:eastAsiaTheme="minorEastAsia" w:hAnsi="Invesco Interstate Light"/>
          <w:b/>
          <w:bCs/>
          <w:sz w:val="22"/>
          <w:szCs w:val="22"/>
        </w:rPr>
        <w:t>Přechod na bezemisní hospodářství</w:t>
      </w:r>
    </w:p>
    <w:p w14:paraId="6F5B329C" w14:textId="77777777" w:rsidR="00032DC6" w:rsidRPr="00032DC6" w:rsidRDefault="00032DC6" w:rsidP="00032DC6">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 xml:space="preserve">Ve vyspělých ekonomikách se opatření proti dopadům na klima zaměřují spíše na zmírňování dopadů nebo na snahu o přechod ke snižování emisí skleníkových plynů nebo jejich prevenci. Úsilí v těchto zemích směřuje </w:t>
      </w:r>
      <w:r w:rsidRPr="00032DC6">
        <w:rPr>
          <w:rFonts w:ascii="Invesco Interstate Light" w:eastAsiaTheme="minorEastAsia" w:hAnsi="Invesco Interstate Light"/>
          <w:sz w:val="22"/>
          <w:szCs w:val="22"/>
        </w:rPr>
        <w:lastRenderedPageBreak/>
        <w:t>k přechodu na více obnovitelných zdrojů energie, jako je solární a vodíková energie, k přijetí udržitelnějších postupů výroby potravin a k zavádění technologií ke zmírnění emisí skleníkových plynů.</w:t>
      </w:r>
    </w:p>
    <w:p w14:paraId="2DAAC452" w14:textId="77777777" w:rsidR="000C33E2" w:rsidRDefault="000C33E2" w:rsidP="000C33E2">
      <w:pPr>
        <w:spacing w:line="360" w:lineRule="auto"/>
        <w:jc w:val="both"/>
        <w:rPr>
          <w:rFonts w:ascii="Invesco Interstate Light" w:eastAsiaTheme="minorEastAsia" w:hAnsi="Invesco Interstate Light"/>
          <w:sz w:val="22"/>
          <w:szCs w:val="22"/>
        </w:rPr>
      </w:pPr>
    </w:p>
    <w:p w14:paraId="431B070F" w14:textId="6FC5ED7A" w:rsidR="00032DC6" w:rsidRDefault="00032DC6" w:rsidP="00032DC6">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 xml:space="preserve">Dosažení čistě nulových emisí je však náročné a trendy nejsou povzbudivé. Podle </w:t>
      </w:r>
      <w:proofErr w:type="spellStart"/>
      <w:r w:rsidRPr="00032DC6">
        <w:rPr>
          <w:rFonts w:ascii="Invesco Interstate Light" w:eastAsiaTheme="minorEastAsia" w:hAnsi="Invesco Interstate Light"/>
          <w:sz w:val="22"/>
          <w:szCs w:val="22"/>
        </w:rPr>
        <w:t>Economic</w:t>
      </w:r>
      <w:proofErr w:type="spellEnd"/>
      <w:r w:rsidRPr="00032DC6">
        <w:rPr>
          <w:rFonts w:ascii="Invesco Interstate Light" w:eastAsiaTheme="minorEastAsia" w:hAnsi="Invesco Interstate Light"/>
          <w:sz w:val="22"/>
          <w:szCs w:val="22"/>
        </w:rPr>
        <w:t xml:space="preserve"> </w:t>
      </w:r>
      <w:proofErr w:type="spellStart"/>
      <w:r w:rsidRPr="00032DC6">
        <w:rPr>
          <w:rFonts w:ascii="Invesco Interstate Light" w:eastAsiaTheme="minorEastAsia" w:hAnsi="Invesco Interstate Light"/>
          <w:sz w:val="22"/>
          <w:szCs w:val="22"/>
        </w:rPr>
        <w:t>Transition</w:t>
      </w:r>
      <w:proofErr w:type="spellEnd"/>
      <w:r w:rsidRPr="00032DC6">
        <w:rPr>
          <w:rFonts w:ascii="Invesco Interstate Light" w:eastAsiaTheme="minorEastAsia" w:hAnsi="Invesco Interstate Light"/>
          <w:sz w:val="22"/>
          <w:szCs w:val="22"/>
        </w:rPr>
        <w:t xml:space="preserve"> Monitor společnosti </w:t>
      </w:r>
      <w:proofErr w:type="spellStart"/>
      <w:r w:rsidRPr="00032DC6">
        <w:rPr>
          <w:rFonts w:ascii="Invesco Interstate Light" w:eastAsiaTheme="minorEastAsia" w:hAnsi="Invesco Interstate Light"/>
          <w:sz w:val="22"/>
          <w:szCs w:val="22"/>
        </w:rPr>
        <w:t>Invesco</w:t>
      </w:r>
      <w:proofErr w:type="spellEnd"/>
      <w:r w:rsidRPr="00032DC6">
        <w:rPr>
          <w:rFonts w:ascii="Invesco Interstate Light" w:eastAsiaTheme="minorEastAsia" w:hAnsi="Invesco Interstate Light"/>
          <w:sz w:val="22"/>
          <w:szCs w:val="22"/>
        </w:rPr>
        <w:t xml:space="preserve"> je k dosažení globální ekonomiky s nulovými čistými emisemi CO2 potřeba, aby se intenzita ekonomické činnosti dramaticky snížila </w:t>
      </w:r>
      <w:r w:rsidRPr="00890DB0">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032DC6">
        <w:rPr>
          <w:rFonts w:ascii="Invesco Interstate Light" w:eastAsiaTheme="minorEastAsia" w:hAnsi="Invesco Interstate Light"/>
          <w:sz w:val="22"/>
          <w:szCs w:val="22"/>
        </w:rPr>
        <w:t>mnohem více než v posledních desetiletích. Nedávný výzkum společnosti CDP, která se zabývá zveřejňováním informací o životním prostředí, ukázal, že z 18 600 společností, které poskytly údaje, bylo pouze 0,4 % vyhodnoceno jako společnosti, které mají takové plány transformace, že se tomu dá věřit.</w:t>
      </w:r>
    </w:p>
    <w:p w14:paraId="79C7C050" w14:textId="77777777" w:rsidR="00032DC6" w:rsidRDefault="00032DC6" w:rsidP="00032DC6">
      <w:pPr>
        <w:spacing w:line="360" w:lineRule="auto"/>
        <w:jc w:val="both"/>
        <w:rPr>
          <w:rFonts w:ascii="Invesco Interstate Light" w:eastAsiaTheme="minorEastAsia" w:hAnsi="Invesco Interstate Light"/>
          <w:sz w:val="22"/>
          <w:szCs w:val="22"/>
        </w:rPr>
      </w:pPr>
    </w:p>
    <w:p w14:paraId="62F86524" w14:textId="77777777" w:rsidR="00032DC6" w:rsidRPr="00032DC6" w:rsidRDefault="00032DC6" w:rsidP="00032DC6">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 xml:space="preserve">Politické iniciativy a vládní nařízení v Evropě nicméně stanovily cíle, které mají společnosti dodržovat. Na konferenci COP27 byla vytvořena pracovní skupina pro přechodné plány a pokyny Net </w:t>
      </w:r>
      <w:proofErr w:type="spellStart"/>
      <w:r w:rsidRPr="00032DC6">
        <w:rPr>
          <w:rFonts w:ascii="Invesco Interstate Light" w:eastAsiaTheme="minorEastAsia" w:hAnsi="Invesco Interstate Light"/>
          <w:sz w:val="22"/>
          <w:szCs w:val="22"/>
        </w:rPr>
        <w:t>Zero</w:t>
      </w:r>
      <w:proofErr w:type="spellEnd"/>
      <w:r w:rsidRPr="00032DC6">
        <w:rPr>
          <w:rFonts w:ascii="Invesco Interstate Light" w:eastAsiaTheme="minorEastAsia" w:hAnsi="Invesco Interstate Light"/>
          <w:sz w:val="22"/>
          <w:szCs w:val="22"/>
        </w:rPr>
        <w:t>, které mají společnostem a vládám pomoci při vytváření plánů transformace.</w:t>
      </w:r>
    </w:p>
    <w:p w14:paraId="7D7740A8" w14:textId="77777777" w:rsidR="00032DC6" w:rsidRPr="00032DC6" w:rsidRDefault="00032DC6" w:rsidP="00032DC6">
      <w:pPr>
        <w:spacing w:line="360" w:lineRule="auto"/>
        <w:jc w:val="both"/>
        <w:rPr>
          <w:rFonts w:ascii="Invesco Interstate Light" w:eastAsiaTheme="minorEastAsia" w:hAnsi="Invesco Interstate Light"/>
          <w:sz w:val="22"/>
          <w:szCs w:val="22"/>
        </w:rPr>
      </w:pPr>
    </w:p>
    <w:p w14:paraId="2BC4D537" w14:textId="2C6AF519" w:rsidR="00032DC6" w:rsidRPr="00032DC6" w:rsidRDefault="00032DC6" w:rsidP="00032DC6">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 xml:space="preserve">Očekává se také, že zákon Evropské unie o nulových emisích (Green </w:t>
      </w:r>
      <w:proofErr w:type="spellStart"/>
      <w:r w:rsidRPr="00032DC6">
        <w:rPr>
          <w:rFonts w:ascii="Invesco Interstate Light" w:eastAsiaTheme="minorEastAsia" w:hAnsi="Invesco Interstate Light"/>
          <w:sz w:val="22"/>
          <w:szCs w:val="22"/>
        </w:rPr>
        <w:t>Deal</w:t>
      </w:r>
      <w:proofErr w:type="spellEnd"/>
      <w:r w:rsidRPr="00032DC6">
        <w:rPr>
          <w:rFonts w:ascii="Invesco Interstate Light" w:eastAsiaTheme="minorEastAsia" w:hAnsi="Invesco Interstate Light"/>
          <w:sz w:val="22"/>
          <w:szCs w:val="22"/>
        </w:rPr>
        <w:t xml:space="preserve"> Net </w:t>
      </w:r>
      <w:proofErr w:type="spellStart"/>
      <w:r w:rsidRPr="00032DC6">
        <w:rPr>
          <w:rFonts w:ascii="Invesco Interstate Light" w:eastAsiaTheme="minorEastAsia" w:hAnsi="Invesco Interstate Light"/>
          <w:sz w:val="22"/>
          <w:szCs w:val="22"/>
        </w:rPr>
        <w:t>Zero</w:t>
      </w:r>
      <w:proofErr w:type="spellEnd"/>
      <w:r w:rsidRPr="00032DC6">
        <w:rPr>
          <w:rFonts w:ascii="Invesco Interstate Light" w:eastAsiaTheme="minorEastAsia" w:hAnsi="Invesco Interstate Light"/>
          <w:sz w:val="22"/>
          <w:szCs w:val="22"/>
        </w:rPr>
        <w:t xml:space="preserve"> </w:t>
      </w:r>
      <w:proofErr w:type="spellStart"/>
      <w:r w:rsidRPr="00032DC6">
        <w:rPr>
          <w:rFonts w:ascii="Invesco Interstate Light" w:eastAsiaTheme="minorEastAsia" w:hAnsi="Invesco Interstate Light"/>
          <w:sz w:val="22"/>
          <w:szCs w:val="22"/>
        </w:rPr>
        <w:t>Industry</w:t>
      </w:r>
      <w:proofErr w:type="spellEnd"/>
      <w:r w:rsidRPr="00032DC6">
        <w:rPr>
          <w:rFonts w:ascii="Invesco Interstate Light" w:eastAsiaTheme="minorEastAsia" w:hAnsi="Invesco Interstate Light"/>
          <w:sz w:val="22"/>
          <w:szCs w:val="22"/>
        </w:rPr>
        <w:t xml:space="preserve"> </w:t>
      </w:r>
      <w:proofErr w:type="spellStart"/>
      <w:r w:rsidRPr="00032DC6">
        <w:rPr>
          <w:rFonts w:ascii="Invesco Interstate Light" w:eastAsiaTheme="minorEastAsia" w:hAnsi="Invesco Interstate Light"/>
          <w:sz w:val="22"/>
          <w:szCs w:val="22"/>
        </w:rPr>
        <w:t>Act</w:t>
      </w:r>
      <w:proofErr w:type="spellEnd"/>
      <w:r w:rsidRPr="00032DC6">
        <w:rPr>
          <w:rFonts w:ascii="Invesco Interstate Light" w:eastAsiaTheme="minorEastAsia" w:hAnsi="Invesco Interstate Light"/>
          <w:sz w:val="22"/>
          <w:szCs w:val="22"/>
        </w:rPr>
        <w:t xml:space="preserve"> </w:t>
      </w:r>
      <w:r w:rsidRPr="00890DB0">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032DC6">
        <w:rPr>
          <w:rFonts w:ascii="Invesco Interstate Light" w:eastAsiaTheme="minorEastAsia" w:hAnsi="Invesco Interstate Light"/>
          <w:sz w:val="22"/>
          <w:szCs w:val="22"/>
        </w:rPr>
        <w:t>NZIA) změní pravidla hry pro společnosti v EU, které přecházejí na čistě nulové emise. Tento právní předpis urychluje vývoj bezemisních technologií, jako je energie z obnovitelných zdrojů, a pomáhá tak posílit přechod EU ke klimatické neutralitě.</w:t>
      </w:r>
    </w:p>
    <w:p w14:paraId="603B343E" w14:textId="77777777" w:rsidR="00032DC6" w:rsidRDefault="00032DC6" w:rsidP="00890DB0">
      <w:pPr>
        <w:spacing w:line="360" w:lineRule="auto"/>
        <w:jc w:val="both"/>
        <w:rPr>
          <w:rFonts w:ascii="Invesco Interstate Light" w:eastAsiaTheme="minorEastAsia" w:hAnsi="Invesco Interstate Light"/>
          <w:sz w:val="22"/>
          <w:szCs w:val="22"/>
        </w:rPr>
      </w:pPr>
    </w:p>
    <w:p w14:paraId="5A501746" w14:textId="77777777" w:rsidR="00032DC6" w:rsidRPr="00032DC6" w:rsidRDefault="00032DC6" w:rsidP="00032DC6">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 xml:space="preserve">Společnosti, které investují do těchto typů technologií, mohou být schopny zlepšit míru růstu tím, že budoucí tržby přenesou do současnosti (uznají tržby, které by se uskutečnily v budoucích čtvrtletích, v současném čtvrtletí). V rámci naší celoevropské strategii </w:t>
      </w:r>
      <w:proofErr w:type="spellStart"/>
      <w:r w:rsidRPr="00032DC6">
        <w:rPr>
          <w:rFonts w:ascii="Invesco Interstate Light" w:eastAsiaTheme="minorEastAsia" w:hAnsi="Invesco Interstate Light"/>
          <w:sz w:val="22"/>
          <w:szCs w:val="22"/>
        </w:rPr>
        <w:t>Small</w:t>
      </w:r>
      <w:proofErr w:type="spellEnd"/>
      <w:r w:rsidRPr="00032DC6">
        <w:rPr>
          <w:rFonts w:ascii="Invesco Interstate Light" w:eastAsiaTheme="minorEastAsia" w:hAnsi="Invesco Interstate Light"/>
          <w:sz w:val="22"/>
          <w:szCs w:val="22"/>
        </w:rPr>
        <w:t xml:space="preserve"> Cap </w:t>
      </w:r>
      <w:proofErr w:type="spellStart"/>
      <w:r w:rsidRPr="00032DC6">
        <w:rPr>
          <w:rFonts w:ascii="Invesco Interstate Light" w:eastAsiaTheme="minorEastAsia" w:hAnsi="Invesco Interstate Light"/>
          <w:sz w:val="22"/>
          <w:szCs w:val="22"/>
        </w:rPr>
        <w:t>Equity</w:t>
      </w:r>
      <w:proofErr w:type="spellEnd"/>
      <w:r w:rsidRPr="00032DC6">
        <w:rPr>
          <w:rFonts w:ascii="Invesco Interstate Light" w:eastAsiaTheme="minorEastAsia" w:hAnsi="Invesco Interstate Light"/>
          <w:sz w:val="22"/>
          <w:szCs w:val="22"/>
        </w:rPr>
        <w:t xml:space="preserve"> vlastníme petrochemickou společnost </w:t>
      </w:r>
      <w:proofErr w:type="spellStart"/>
      <w:r w:rsidRPr="00032DC6">
        <w:rPr>
          <w:rFonts w:ascii="Invesco Interstate Light" w:eastAsiaTheme="minorEastAsia" w:hAnsi="Invesco Interstate Light"/>
          <w:sz w:val="22"/>
          <w:szCs w:val="22"/>
        </w:rPr>
        <w:t>Technip</w:t>
      </w:r>
      <w:proofErr w:type="spellEnd"/>
      <w:r w:rsidRPr="00032DC6">
        <w:rPr>
          <w:rFonts w:ascii="Invesco Interstate Light" w:eastAsiaTheme="minorEastAsia" w:hAnsi="Invesco Interstate Light"/>
          <w:sz w:val="22"/>
          <w:szCs w:val="22"/>
        </w:rPr>
        <w:t xml:space="preserve"> </w:t>
      </w:r>
      <w:proofErr w:type="spellStart"/>
      <w:r w:rsidRPr="00032DC6">
        <w:rPr>
          <w:rFonts w:ascii="Invesco Interstate Light" w:eastAsiaTheme="minorEastAsia" w:hAnsi="Invesco Interstate Light"/>
          <w:sz w:val="22"/>
          <w:szCs w:val="22"/>
        </w:rPr>
        <w:t>Energies</w:t>
      </w:r>
      <w:proofErr w:type="spellEnd"/>
      <w:r w:rsidRPr="00032DC6">
        <w:rPr>
          <w:rFonts w:ascii="Invesco Interstate Light" w:eastAsiaTheme="minorEastAsia" w:hAnsi="Invesco Interstate Light"/>
          <w:sz w:val="22"/>
          <w:szCs w:val="22"/>
        </w:rPr>
        <w:t>. Tato energetická společnost nabízí inovativní bezemisní energetická řešení zeleného vodíku a mořské větrné energie, která pomáhají růst, diverzifikovat a rozšiřovat objem zakázek.</w:t>
      </w:r>
    </w:p>
    <w:p w14:paraId="53B997CD" w14:textId="77777777" w:rsidR="00890DB0" w:rsidRPr="00890DB0" w:rsidRDefault="00890DB0" w:rsidP="00890DB0">
      <w:pPr>
        <w:spacing w:line="360" w:lineRule="auto"/>
        <w:jc w:val="both"/>
        <w:rPr>
          <w:rFonts w:ascii="Invesco Interstate Light" w:eastAsiaTheme="minorEastAsia" w:hAnsi="Invesco Interstate Light"/>
          <w:sz w:val="22"/>
          <w:szCs w:val="22"/>
        </w:rPr>
      </w:pPr>
    </w:p>
    <w:p w14:paraId="060240FC" w14:textId="77777777" w:rsidR="00032DC6" w:rsidRPr="00032DC6" w:rsidRDefault="00032DC6" w:rsidP="00032DC6">
      <w:pPr>
        <w:spacing w:line="48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 xml:space="preserve">NZIA také požaduje, aby se alespoň 40 % zařízení pro produkci čisté energie vyrábělo v Evropě. To zrychlí poptávku po výrobcích a dodavatelích se sídlem v Evropě, jako je například výrobce solárních článků </w:t>
      </w:r>
      <w:proofErr w:type="spellStart"/>
      <w:r w:rsidRPr="00032DC6">
        <w:rPr>
          <w:rFonts w:ascii="Invesco Interstate Light" w:eastAsiaTheme="minorEastAsia" w:hAnsi="Invesco Interstate Light"/>
          <w:sz w:val="22"/>
          <w:szCs w:val="22"/>
        </w:rPr>
        <w:t>Meyer</w:t>
      </w:r>
      <w:proofErr w:type="spellEnd"/>
      <w:r w:rsidRPr="00032DC6">
        <w:rPr>
          <w:rFonts w:ascii="Invesco Interstate Light" w:eastAsiaTheme="minorEastAsia" w:hAnsi="Invesco Interstate Light"/>
          <w:sz w:val="22"/>
          <w:szCs w:val="22"/>
        </w:rPr>
        <w:t xml:space="preserve"> Burger. 375 miliard eur v podobě grantů, daňových úlev, přímých investic a půjček od NZIA navíc pomůže urychlit další kapitálové a provozní výdaje a také daňovou podporu pro financování růstových plánů.</w:t>
      </w:r>
    </w:p>
    <w:p w14:paraId="37DEF14B" w14:textId="77777777" w:rsidR="00D37219" w:rsidRPr="00D37219" w:rsidRDefault="00D37219" w:rsidP="00D37219">
      <w:pPr>
        <w:spacing w:line="360" w:lineRule="auto"/>
        <w:jc w:val="both"/>
        <w:rPr>
          <w:rFonts w:ascii="Invesco Interstate Light" w:eastAsiaTheme="minorEastAsia" w:hAnsi="Invesco Interstate Light"/>
          <w:sz w:val="22"/>
          <w:szCs w:val="22"/>
        </w:rPr>
      </w:pPr>
    </w:p>
    <w:p w14:paraId="47041AA9" w14:textId="77777777" w:rsidR="00032DC6" w:rsidRDefault="00032DC6" w:rsidP="00032DC6">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lastRenderedPageBreak/>
        <w:t>Přechod na globální ekonomiku s nulovou bezemisní spotřebou však stále čelí značným výzvám. Stále zůstávají otázky, jak správně definovat „transformaci“, posoudit související pokrok a vyvážit krátkodobější finanční důsledky.</w:t>
      </w:r>
    </w:p>
    <w:p w14:paraId="55205AE5" w14:textId="77777777" w:rsidR="00032DC6" w:rsidRDefault="00032DC6" w:rsidP="00032DC6">
      <w:pPr>
        <w:spacing w:line="360" w:lineRule="auto"/>
        <w:jc w:val="both"/>
        <w:rPr>
          <w:rFonts w:ascii="Invesco Interstate Light" w:eastAsiaTheme="minorEastAsia" w:hAnsi="Invesco Interstate Light"/>
          <w:sz w:val="22"/>
          <w:szCs w:val="22"/>
        </w:rPr>
      </w:pPr>
    </w:p>
    <w:p w14:paraId="1D89919B" w14:textId="73974034" w:rsidR="00032DC6" w:rsidRPr="00032DC6" w:rsidRDefault="00032DC6" w:rsidP="00032DC6">
      <w:pPr>
        <w:spacing w:line="360" w:lineRule="auto"/>
        <w:jc w:val="both"/>
        <w:rPr>
          <w:rFonts w:ascii="Invesco Interstate Light" w:eastAsiaTheme="minorEastAsia" w:hAnsi="Invesco Interstate Light"/>
          <w:sz w:val="22"/>
          <w:szCs w:val="22"/>
        </w:rPr>
      </w:pPr>
      <w:r w:rsidRPr="00032DC6">
        <w:rPr>
          <w:rFonts w:ascii="Invesco Interstate Light" w:eastAsiaTheme="minorEastAsia" w:hAnsi="Invesco Interstate Light"/>
          <w:sz w:val="22"/>
          <w:szCs w:val="22"/>
        </w:rPr>
        <w:t>V oblasti adaptace na změnu klimatu i transformace je stále co dělat tak, aby se řešila klimatická rizika a zajistila odolná budoucnost. K zajištění pozitivních změn by mohly přispět i další dlouhodobé investice velkých investorů, jako jsou penzijní systémy a pojišťovny. Mají-li podniky a vlády splnit své cíle, budou zoufale zapotřebí značné dodatečné finanční prostředky.</w:t>
      </w:r>
      <w:r w:rsidR="00595D13">
        <w:rPr>
          <w:rFonts w:ascii="Invesco Interstate Light" w:eastAsiaTheme="minorEastAsia" w:hAnsi="Invesco Interstate Light"/>
          <w:sz w:val="22"/>
          <w:szCs w:val="22"/>
        </w:rPr>
        <w:t xml:space="preserve"> Čeští investoři mohou investovat do této oblasti prostřednictvím fondů </w:t>
      </w:r>
      <w:proofErr w:type="spellStart"/>
      <w:r w:rsidR="00595D13">
        <w:rPr>
          <w:rFonts w:ascii="Invesco Interstate Light" w:eastAsiaTheme="minorEastAsia" w:hAnsi="Invesco Interstate Light"/>
          <w:sz w:val="22"/>
          <w:szCs w:val="22"/>
        </w:rPr>
        <w:t>Invesco</w:t>
      </w:r>
      <w:proofErr w:type="spellEnd"/>
      <w:r w:rsidR="00595D13">
        <w:rPr>
          <w:rFonts w:ascii="Invesco Interstate Light" w:eastAsiaTheme="minorEastAsia" w:hAnsi="Invesco Interstate Light"/>
          <w:sz w:val="22"/>
          <w:szCs w:val="22"/>
        </w:rPr>
        <w:t xml:space="preserve"> </w:t>
      </w:r>
      <w:proofErr w:type="spellStart"/>
      <w:r w:rsidR="00595D13">
        <w:rPr>
          <w:rFonts w:ascii="Invesco Interstate Light" w:eastAsiaTheme="minorEastAsia" w:hAnsi="Invesco Interstate Light"/>
          <w:sz w:val="22"/>
          <w:szCs w:val="22"/>
        </w:rPr>
        <w:t>Global</w:t>
      </w:r>
      <w:proofErr w:type="spellEnd"/>
      <w:r w:rsidR="00595D13">
        <w:rPr>
          <w:rFonts w:ascii="Invesco Interstate Light" w:eastAsiaTheme="minorEastAsia" w:hAnsi="Invesco Interstate Light"/>
          <w:sz w:val="22"/>
          <w:szCs w:val="22"/>
        </w:rPr>
        <w:t xml:space="preserve"> </w:t>
      </w:r>
      <w:proofErr w:type="spellStart"/>
      <w:r w:rsidR="00595D13">
        <w:rPr>
          <w:rFonts w:ascii="Invesco Interstate Light" w:eastAsiaTheme="minorEastAsia" w:hAnsi="Invesco Interstate Light"/>
          <w:sz w:val="22"/>
          <w:szCs w:val="22"/>
        </w:rPr>
        <w:t>Clean</w:t>
      </w:r>
      <w:proofErr w:type="spellEnd"/>
      <w:r w:rsidR="00595D13">
        <w:rPr>
          <w:rFonts w:ascii="Invesco Interstate Light" w:eastAsiaTheme="minorEastAsia" w:hAnsi="Invesco Interstate Light"/>
          <w:sz w:val="22"/>
          <w:szCs w:val="22"/>
        </w:rPr>
        <w:t xml:space="preserve"> </w:t>
      </w:r>
      <w:proofErr w:type="spellStart"/>
      <w:r w:rsidR="00595D13">
        <w:rPr>
          <w:rFonts w:ascii="Invesco Interstate Light" w:eastAsiaTheme="minorEastAsia" w:hAnsi="Invesco Interstate Light"/>
          <w:sz w:val="22"/>
          <w:szCs w:val="22"/>
        </w:rPr>
        <w:t>Energy</w:t>
      </w:r>
      <w:proofErr w:type="spellEnd"/>
      <w:r w:rsidR="00595D13">
        <w:rPr>
          <w:rFonts w:ascii="Invesco Interstate Light" w:eastAsiaTheme="minorEastAsia" w:hAnsi="Invesco Interstate Light"/>
          <w:sz w:val="22"/>
          <w:szCs w:val="22"/>
        </w:rPr>
        <w:t xml:space="preserve"> UCITS ETF a </w:t>
      </w:r>
      <w:proofErr w:type="spellStart"/>
      <w:r w:rsidR="00595D13">
        <w:rPr>
          <w:rFonts w:ascii="Invesco Interstate Light" w:eastAsiaTheme="minorEastAsia" w:hAnsi="Invesco Interstate Light"/>
          <w:sz w:val="22"/>
          <w:szCs w:val="22"/>
        </w:rPr>
        <w:t>Invesco</w:t>
      </w:r>
      <w:proofErr w:type="spellEnd"/>
      <w:r w:rsidR="00595D13">
        <w:rPr>
          <w:rFonts w:ascii="Invesco Interstate Light" w:eastAsiaTheme="minorEastAsia" w:hAnsi="Invesco Interstate Light"/>
          <w:sz w:val="22"/>
          <w:szCs w:val="22"/>
        </w:rPr>
        <w:t xml:space="preserve"> Hydrogen </w:t>
      </w:r>
      <w:proofErr w:type="spellStart"/>
      <w:r w:rsidR="00595D13">
        <w:rPr>
          <w:rFonts w:ascii="Invesco Interstate Light" w:eastAsiaTheme="minorEastAsia" w:hAnsi="Invesco Interstate Light"/>
          <w:sz w:val="22"/>
          <w:szCs w:val="22"/>
        </w:rPr>
        <w:t>Economy</w:t>
      </w:r>
      <w:proofErr w:type="spellEnd"/>
      <w:r w:rsidR="00595D13">
        <w:rPr>
          <w:rFonts w:ascii="Invesco Interstate Light" w:eastAsiaTheme="minorEastAsia" w:hAnsi="Invesco Interstate Light"/>
          <w:sz w:val="22"/>
          <w:szCs w:val="22"/>
        </w:rPr>
        <w:t xml:space="preserve"> UCITS ETF. </w:t>
      </w:r>
    </w:p>
    <w:p w14:paraId="408D8C9F" w14:textId="016266E7" w:rsidR="00036240" w:rsidRPr="00032DC6" w:rsidRDefault="00036240" w:rsidP="00032DC6">
      <w:pPr>
        <w:autoSpaceDE w:val="0"/>
        <w:autoSpaceDN w:val="0"/>
        <w:adjustRightInd w:val="0"/>
        <w:spacing w:line="360" w:lineRule="auto"/>
        <w:jc w:val="both"/>
        <w:rPr>
          <w:rFonts w:ascii="Invesco Interstate Light" w:eastAsiaTheme="minorEastAsia" w:hAnsi="Invesco Interstate Light"/>
          <w:sz w:val="22"/>
          <w:szCs w:val="22"/>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3" w:history="1">
        <w:r w:rsidRPr="00873CBF">
          <w:rPr>
            <w:rFonts w:ascii="Invesco Interstate Light" w:hAnsi="Invesco Interstate Light"/>
            <w:sz w:val="22"/>
            <w:szCs w:val="22"/>
          </w:rPr>
          <w:t>eliska.krohova@crestcom.cz</w:t>
        </w:r>
      </w:hyperlink>
    </w:p>
    <w:sectPr w:rsidR="002355DD" w:rsidRPr="00907B79" w:rsidSect="00AD7532">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7B0A3" w14:textId="77777777" w:rsidR="009D2895" w:rsidRDefault="009D2895">
      <w:r>
        <w:separator/>
      </w:r>
    </w:p>
  </w:endnote>
  <w:endnote w:type="continuationSeparator" w:id="0">
    <w:p w14:paraId="1BE8DD5F" w14:textId="77777777" w:rsidR="009D2895" w:rsidRDefault="009D2895">
      <w:r>
        <w:continuationSeparator/>
      </w:r>
    </w:p>
  </w:endnote>
  <w:endnote w:type="continuationNotice" w:id="1">
    <w:p w14:paraId="2E3453E6" w14:textId="77777777" w:rsidR="009D2895" w:rsidRDefault="009D28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2A7BE" w14:textId="77777777" w:rsidR="009D2895" w:rsidRDefault="009D2895">
      <w:r>
        <w:separator/>
      </w:r>
    </w:p>
  </w:footnote>
  <w:footnote w:type="continuationSeparator" w:id="0">
    <w:p w14:paraId="10C69897" w14:textId="77777777" w:rsidR="009D2895" w:rsidRDefault="009D2895">
      <w:r>
        <w:continuationSeparator/>
      </w:r>
    </w:p>
  </w:footnote>
  <w:footnote w:type="continuationNotice" w:id="1">
    <w:p w14:paraId="66A0B527" w14:textId="77777777" w:rsidR="009D2895" w:rsidRDefault="009D28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2F94019A" w:rsidR="00702C33" w:rsidRPr="000730A6" w:rsidRDefault="000C33E2" w:rsidP="0083625E">
    <w:pPr>
      <w:pStyle w:val="Zhlav"/>
      <w:pBdr>
        <w:top w:val="single" w:sz="4" w:space="3" w:color="auto"/>
      </w:pBdr>
      <w:spacing w:line="298" w:lineRule="exact"/>
      <w:ind w:left="3402"/>
      <w:jc w:val="right"/>
      <w:rPr>
        <w:color w:val="000000"/>
        <w:sz w:val="28"/>
        <w:szCs w:val="28"/>
      </w:rPr>
    </w:pPr>
    <w:r>
      <w:rPr>
        <w:color w:val="000000"/>
        <w:sz w:val="28"/>
        <w:szCs w:val="28"/>
      </w:rPr>
      <w:t>1</w:t>
    </w:r>
    <w:r w:rsidR="00595D13">
      <w:rPr>
        <w:color w:val="000000"/>
        <w:sz w:val="28"/>
        <w:szCs w:val="28"/>
      </w:rPr>
      <w:t>8</w:t>
    </w:r>
    <w:r w:rsidR="0083625E">
      <w:rPr>
        <w:color w:val="000000"/>
        <w:sz w:val="28"/>
        <w:szCs w:val="28"/>
      </w:rPr>
      <w:t>.</w:t>
    </w:r>
    <w:r w:rsidR="008350B0">
      <w:rPr>
        <w:color w:val="000000"/>
        <w:sz w:val="28"/>
        <w:szCs w:val="28"/>
      </w:rPr>
      <w:t>10</w:t>
    </w:r>
    <w:r w:rsidR="0083625E">
      <w:rPr>
        <w:color w:val="000000"/>
        <w:sz w:val="28"/>
        <w:szCs w:val="28"/>
      </w:rPr>
      <w:t>.202</w:t>
    </w:r>
    <w:r w:rsidR="00FE0021">
      <w:rPr>
        <w:color w:val="000000"/>
        <w:sz w:val="28"/>
        <w:szCs w:val="28"/>
      </w:rPr>
      <w:t>4</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9197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F1666"/>
    <w:multiLevelType w:val="multilevel"/>
    <w:tmpl w:val="11820CCE"/>
    <w:numStyleLink w:val="FormatvorlageAufgezhlt"/>
  </w:abstractNum>
  <w:abstractNum w:abstractNumId="3"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079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B524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1D53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A46D70"/>
    <w:multiLevelType w:val="multilevel"/>
    <w:tmpl w:val="11820CCE"/>
    <w:numStyleLink w:val="FormatvorlageAufgezhlt"/>
  </w:abstractNum>
  <w:abstractNum w:abstractNumId="20"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E84C8F"/>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630B23"/>
    <w:multiLevelType w:val="multilevel"/>
    <w:tmpl w:val="11820CCE"/>
    <w:numStyleLink w:val="FormatvorlageAufgezhlt"/>
  </w:abstractNum>
  <w:abstractNum w:abstractNumId="29" w15:restartNumberingAfterBreak="0">
    <w:nsid w:val="4E1D043F"/>
    <w:multiLevelType w:val="hybridMultilevel"/>
    <w:tmpl w:val="36B65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715B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8A4775"/>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D403C3"/>
    <w:multiLevelType w:val="multilevel"/>
    <w:tmpl w:val="11820CCE"/>
    <w:numStyleLink w:val="FormatvorlageAufgezhlt"/>
  </w:abstractNum>
  <w:abstractNum w:abstractNumId="42" w15:restartNumberingAfterBreak="0">
    <w:nsid w:val="6C6C4721"/>
    <w:multiLevelType w:val="multilevel"/>
    <w:tmpl w:val="11820CCE"/>
    <w:numStyleLink w:val="FormatvorlageAufgezhlt"/>
  </w:abstractNum>
  <w:abstractNum w:abstractNumId="43" w15:restartNumberingAfterBreak="0">
    <w:nsid w:val="6D023049"/>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E5380B"/>
    <w:multiLevelType w:val="multilevel"/>
    <w:tmpl w:val="11820CCE"/>
    <w:numStyleLink w:val="FormatvorlageAufgezhlt"/>
  </w:abstractNum>
  <w:abstractNum w:abstractNumId="4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B55A57"/>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22"/>
  </w:num>
  <w:num w:numId="3" w16cid:durableId="1058673432">
    <w:abstractNumId w:val="37"/>
  </w:num>
  <w:num w:numId="4" w16cid:durableId="1730423567">
    <w:abstractNumId w:val="24"/>
  </w:num>
  <w:num w:numId="5" w16cid:durableId="1333148149">
    <w:abstractNumId w:val="28"/>
  </w:num>
  <w:num w:numId="6" w16cid:durableId="314455825">
    <w:abstractNumId w:val="41"/>
  </w:num>
  <w:num w:numId="7" w16cid:durableId="731198378">
    <w:abstractNumId w:val="42"/>
  </w:num>
  <w:num w:numId="8" w16cid:durableId="1195004484">
    <w:abstractNumId w:val="2"/>
  </w:num>
  <w:num w:numId="9" w16cid:durableId="47461023">
    <w:abstractNumId w:val="46"/>
  </w:num>
  <w:num w:numId="10" w16cid:durableId="1088232992">
    <w:abstractNumId w:val="19"/>
  </w:num>
  <w:num w:numId="11" w16cid:durableId="596720224">
    <w:abstractNumId w:val="5"/>
  </w:num>
  <w:num w:numId="12" w16cid:durableId="1181890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52"/>
  </w:num>
  <w:num w:numId="14" w16cid:durableId="433985897">
    <w:abstractNumId w:val="53"/>
  </w:num>
  <w:num w:numId="15" w16cid:durableId="859778437">
    <w:abstractNumId w:val="35"/>
  </w:num>
  <w:num w:numId="16" w16cid:durableId="1185170297">
    <w:abstractNumId w:val="9"/>
  </w:num>
  <w:num w:numId="17" w16cid:durableId="1553468409">
    <w:abstractNumId w:val="3"/>
  </w:num>
  <w:num w:numId="18" w16cid:durableId="2045514728">
    <w:abstractNumId w:val="40"/>
  </w:num>
  <w:num w:numId="19" w16cid:durableId="2025092752">
    <w:abstractNumId w:val="44"/>
  </w:num>
  <w:num w:numId="20" w16cid:durableId="1183128137">
    <w:abstractNumId w:val="50"/>
  </w:num>
  <w:num w:numId="21" w16cid:durableId="1771581749">
    <w:abstractNumId w:val="48"/>
  </w:num>
  <w:num w:numId="22" w16cid:durableId="1104567758">
    <w:abstractNumId w:val="18"/>
  </w:num>
  <w:num w:numId="23" w16cid:durableId="106583224">
    <w:abstractNumId w:val="34"/>
  </w:num>
  <w:num w:numId="24" w16cid:durableId="999164007">
    <w:abstractNumId w:val="26"/>
  </w:num>
  <w:num w:numId="25" w16cid:durableId="730884105">
    <w:abstractNumId w:val="51"/>
  </w:num>
  <w:num w:numId="26" w16cid:durableId="892352369">
    <w:abstractNumId w:val="32"/>
  </w:num>
  <w:num w:numId="27" w16cid:durableId="1829445642">
    <w:abstractNumId w:val="4"/>
  </w:num>
  <w:num w:numId="28" w16cid:durableId="237179842">
    <w:abstractNumId w:val="7"/>
  </w:num>
  <w:num w:numId="29" w16cid:durableId="1106922947">
    <w:abstractNumId w:val="47"/>
  </w:num>
  <w:num w:numId="30" w16cid:durableId="1370059916">
    <w:abstractNumId w:val="30"/>
  </w:num>
  <w:num w:numId="31" w16cid:durableId="1332021732">
    <w:abstractNumId w:val="31"/>
  </w:num>
  <w:num w:numId="32" w16cid:durableId="1599289510">
    <w:abstractNumId w:val="10"/>
  </w:num>
  <w:num w:numId="33" w16cid:durableId="123156381">
    <w:abstractNumId w:val="45"/>
  </w:num>
  <w:num w:numId="34" w16cid:durableId="74061241">
    <w:abstractNumId w:val="23"/>
  </w:num>
  <w:num w:numId="35" w16cid:durableId="454254969">
    <w:abstractNumId w:val="15"/>
  </w:num>
  <w:num w:numId="36" w16cid:durableId="1851555716">
    <w:abstractNumId w:val="14"/>
  </w:num>
  <w:num w:numId="37" w16cid:durableId="629167241">
    <w:abstractNumId w:val="20"/>
  </w:num>
  <w:num w:numId="38" w16cid:durableId="629282308">
    <w:abstractNumId w:val="25"/>
  </w:num>
  <w:num w:numId="39" w16cid:durableId="914512492">
    <w:abstractNumId w:val="6"/>
  </w:num>
  <w:num w:numId="40" w16cid:durableId="1909345610">
    <w:abstractNumId w:val="38"/>
  </w:num>
  <w:num w:numId="41" w16cid:durableId="331569117">
    <w:abstractNumId w:val="27"/>
  </w:num>
  <w:num w:numId="42" w16cid:durableId="346760006">
    <w:abstractNumId w:val="17"/>
  </w:num>
  <w:num w:numId="43" w16cid:durableId="643899494">
    <w:abstractNumId w:val="39"/>
  </w:num>
  <w:num w:numId="44" w16cid:durableId="1087651064">
    <w:abstractNumId w:val="13"/>
  </w:num>
  <w:num w:numId="45" w16cid:durableId="3092289">
    <w:abstractNumId w:val="29"/>
  </w:num>
  <w:num w:numId="46" w16cid:durableId="1805198695">
    <w:abstractNumId w:val="8"/>
  </w:num>
  <w:num w:numId="47" w16cid:durableId="408425799">
    <w:abstractNumId w:val="36"/>
  </w:num>
  <w:num w:numId="48" w16cid:durableId="605770296">
    <w:abstractNumId w:val="43"/>
  </w:num>
  <w:num w:numId="49" w16cid:durableId="216283430">
    <w:abstractNumId w:val="16"/>
  </w:num>
  <w:num w:numId="50" w16cid:durableId="1333558059">
    <w:abstractNumId w:val="21"/>
  </w:num>
  <w:num w:numId="51" w16cid:durableId="2008510283">
    <w:abstractNumId w:val="12"/>
  </w:num>
  <w:num w:numId="52" w16cid:durableId="245118006">
    <w:abstractNumId w:val="1"/>
  </w:num>
  <w:num w:numId="53" w16cid:durableId="1889565493">
    <w:abstractNumId w:val="33"/>
  </w:num>
  <w:num w:numId="54" w16cid:durableId="21543162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DC6"/>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33E2"/>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6DA6"/>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56CD0"/>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1D2B"/>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35C"/>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772"/>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2A8E"/>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F6"/>
    <w:rsid w:val="00595587"/>
    <w:rsid w:val="00595D13"/>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58DD"/>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BC3"/>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58C"/>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5F57"/>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0DB0"/>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58AB"/>
    <w:rsid w:val="009C66C7"/>
    <w:rsid w:val="009C7203"/>
    <w:rsid w:val="009C78E0"/>
    <w:rsid w:val="009D0044"/>
    <w:rsid w:val="009D02AB"/>
    <w:rsid w:val="009D13DB"/>
    <w:rsid w:val="009D1FB1"/>
    <w:rsid w:val="009D2895"/>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6E4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1E65"/>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0E7E"/>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6B4"/>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4AC"/>
    <w:rsid w:val="00EF1C3B"/>
    <w:rsid w:val="00EF1F79"/>
    <w:rsid w:val="00EF2AEB"/>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3A9"/>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5D"/>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1630</Words>
  <Characters>9623</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2024-10-18T07:25:00Z</dcterms:created>
  <dcterms:modified xsi:type="dcterms:W3CDTF">2024-10-18T07:25:00Z</dcterms:modified>
</cp:coreProperties>
</file>