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E8FAF0D" w14:textId="77777777" w:rsidR="006C0694" w:rsidRPr="0085622D" w:rsidRDefault="006C0694" w:rsidP="00C00401">
      <w:pPr>
        <w:rPr>
          <w:rFonts w:cs="Open Sans"/>
        </w:rPr>
      </w:pPr>
    </w:p>
    <w:p w14:paraId="7B6C3BE1" w14:textId="0E7A687B" w:rsidR="00CA1E28" w:rsidRPr="00CA1E28" w:rsidRDefault="00463B71" w:rsidP="00CA1E28">
      <w:pPr>
        <w:pStyle w:val="Nadpis1"/>
        <w:rPr>
          <w:rFonts w:cs="Open Sans"/>
        </w:rPr>
      </w:pPr>
      <w:r w:rsidRPr="00463B71">
        <w:rPr>
          <w:rFonts w:cs="Open Sans"/>
        </w:rPr>
        <w:t xml:space="preserve">Kryptoměnové podvody </w:t>
      </w:r>
      <w:r w:rsidR="008C663E">
        <w:rPr>
          <w:rFonts w:cs="Open Sans"/>
        </w:rPr>
        <w:t>rostou</w:t>
      </w:r>
      <w:r w:rsidRPr="00463B71">
        <w:rPr>
          <w:rFonts w:cs="Open Sans"/>
        </w:rPr>
        <w:t>: Vzdělání ani věk nehrají roli, oběťmi jsou i vysokoškoláci</w:t>
      </w:r>
    </w:p>
    <w:p w14:paraId="7C1762F0" w14:textId="6B286EA8" w:rsidR="001F1B32" w:rsidRDefault="00940CC0" w:rsidP="00971997">
      <w:pPr>
        <w:rPr>
          <w:rFonts w:cs="Open Sans"/>
          <w:b/>
          <w:bCs/>
        </w:rPr>
      </w:pPr>
      <w:r w:rsidRPr="00940CC0">
        <w:rPr>
          <w:rFonts w:cs="Open Sans"/>
          <w:b/>
          <w:bCs/>
        </w:rPr>
        <w:t xml:space="preserve">Praha </w:t>
      </w:r>
      <w:r w:rsidR="00694313">
        <w:rPr>
          <w:rFonts w:cs="Open Sans"/>
          <w:b/>
          <w:bCs/>
        </w:rPr>
        <w:t>20</w:t>
      </w:r>
      <w:r w:rsidRPr="00940CC0">
        <w:rPr>
          <w:rFonts w:cs="Open Sans"/>
          <w:b/>
          <w:bCs/>
        </w:rPr>
        <w:t xml:space="preserve">. </w:t>
      </w:r>
      <w:r w:rsidR="00977B51">
        <w:rPr>
          <w:rFonts w:cs="Open Sans"/>
          <w:b/>
          <w:bCs/>
        </w:rPr>
        <w:t>listopadu</w:t>
      </w:r>
      <w:r w:rsidRPr="00940CC0">
        <w:rPr>
          <w:rFonts w:cs="Open Sans"/>
          <w:b/>
          <w:bCs/>
        </w:rPr>
        <w:t xml:space="preserve"> 2024 –</w:t>
      </w:r>
      <w:r w:rsidR="00C51B36">
        <w:rPr>
          <w:rFonts w:cs="Open Sans"/>
          <w:b/>
          <w:bCs/>
        </w:rPr>
        <w:t xml:space="preserve"> </w:t>
      </w:r>
      <w:r w:rsidR="00DE1D9E" w:rsidRPr="00DE1D9E">
        <w:rPr>
          <w:rFonts w:cs="Open Sans"/>
          <w:b/>
          <w:bCs/>
        </w:rPr>
        <w:t xml:space="preserve">Internetoví podvodníci připravili v roce 2023 české občany o více než 2 miliardy korun, </w:t>
      </w:r>
      <w:r w:rsidR="00397E50">
        <w:rPr>
          <w:rFonts w:cs="Open Sans"/>
          <w:b/>
          <w:bCs/>
        </w:rPr>
        <w:t>v prvním</w:t>
      </w:r>
      <w:r w:rsidR="00DE1D9E" w:rsidRPr="00DE1D9E">
        <w:rPr>
          <w:rFonts w:cs="Open Sans"/>
          <w:b/>
          <w:bCs/>
        </w:rPr>
        <w:t xml:space="preserve"> čtvrtletí 2024 ztráty dosáhly 357 milionů. Přestože počet pokusů o podvod </w:t>
      </w:r>
      <w:r w:rsidR="00DE1D9E">
        <w:rPr>
          <w:rFonts w:cs="Open Sans"/>
          <w:b/>
          <w:bCs/>
        </w:rPr>
        <w:t>meziročně vz</w:t>
      </w:r>
      <w:r w:rsidR="00DE1D9E" w:rsidRPr="00DE1D9E">
        <w:rPr>
          <w:rFonts w:cs="Open Sans"/>
          <w:b/>
          <w:bCs/>
        </w:rPr>
        <w:t>rost</w:t>
      </w:r>
      <w:r w:rsidR="00DE1D9E">
        <w:rPr>
          <w:rFonts w:cs="Open Sans"/>
          <w:b/>
          <w:bCs/>
        </w:rPr>
        <w:t>l</w:t>
      </w:r>
      <w:r w:rsidR="00DE1D9E" w:rsidRPr="00DE1D9E">
        <w:rPr>
          <w:rFonts w:cs="Open Sans"/>
          <w:b/>
          <w:bCs/>
        </w:rPr>
        <w:t>, celková odcizená částka klesá díky rostoucí finanční gramotnosti. Mezi nejnebezpečnější patří podvody s kryptoměnami, kde oběti přicházejí o statisíce až miliony korun.</w:t>
      </w:r>
    </w:p>
    <w:p w14:paraId="76604C87" w14:textId="011573C1" w:rsidR="00BC00B6" w:rsidRPr="00C779A7" w:rsidRDefault="00BC00B6" w:rsidP="007F5B86">
      <w:pPr>
        <w:rPr>
          <w:rFonts w:cs="Open Sans"/>
          <w:i/>
          <w:iCs/>
        </w:rPr>
      </w:pPr>
      <w:r w:rsidRPr="007F5B86">
        <w:rPr>
          <w:rFonts w:cs="Open Sans"/>
          <w:i/>
          <w:iCs/>
        </w:rPr>
        <w:t>„</w:t>
      </w:r>
      <w:r w:rsidR="00746541" w:rsidRPr="007F5B86">
        <w:rPr>
          <w:rFonts w:cs="Open Sans"/>
          <w:i/>
          <w:iCs/>
        </w:rPr>
        <w:t xml:space="preserve">Přestože počet pokusů o podvod roste, díky lepší informovanosti veřejnosti se daří </w:t>
      </w:r>
      <w:r w:rsidR="00746541">
        <w:rPr>
          <w:rFonts w:cs="Open Sans"/>
          <w:i/>
          <w:iCs/>
        </w:rPr>
        <w:t xml:space="preserve">oproti loňskému roku </w:t>
      </w:r>
      <w:r w:rsidR="00746541" w:rsidRPr="007F5B86">
        <w:rPr>
          <w:rFonts w:cs="Open Sans"/>
          <w:i/>
          <w:iCs/>
        </w:rPr>
        <w:t>snižovat celkovou výši ztrát</w:t>
      </w:r>
      <w:r w:rsidR="00746541">
        <w:rPr>
          <w:rFonts w:cs="Open Sans"/>
          <w:i/>
          <w:iCs/>
        </w:rPr>
        <w:t>.</w:t>
      </w:r>
      <w:r w:rsidR="00746541" w:rsidRPr="007F5B86">
        <w:rPr>
          <w:rFonts w:cs="Open Sans"/>
          <w:i/>
          <w:iCs/>
        </w:rPr>
        <w:t xml:space="preserve"> </w:t>
      </w:r>
      <w:r w:rsidRPr="007F5B86">
        <w:rPr>
          <w:rFonts w:cs="Open Sans"/>
          <w:i/>
          <w:iCs/>
        </w:rPr>
        <w:t>Za první čtvrtletí 2024 jsme zaznamenali ztráty ve výši 357 milionů korun</w:t>
      </w:r>
      <w:r w:rsidR="00C779A7">
        <w:rPr>
          <w:rFonts w:cs="Open Sans"/>
          <w:i/>
          <w:iCs/>
        </w:rPr>
        <w:t>, odhad za tři čtvrtletí přesahuje miliardu. Š</w:t>
      </w:r>
      <w:r w:rsidR="00C779A7" w:rsidRPr="00C779A7">
        <w:rPr>
          <w:rFonts w:cs="Open Sans"/>
          <w:i/>
          <w:iCs/>
        </w:rPr>
        <w:t xml:space="preserve">koda z krypto podvodů </w:t>
      </w:r>
      <w:r w:rsidR="00C779A7">
        <w:rPr>
          <w:rFonts w:cs="Open Sans"/>
          <w:i/>
          <w:iCs/>
        </w:rPr>
        <w:t xml:space="preserve">se odhaduje na </w:t>
      </w:r>
      <w:r w:rsidR="00C779A7" w:rsidRPr="00C779A7">
        <w:rPr>
          <w:rFonts w:cs="Open Sans"/>
          <w:i/>
          <w:iCs/>
        </w:rPr>
        <w:t>několik set milionů korun</w:t>
      </w:r>
      <w:r w:rsidRPr="007F5B86">
        <w:rPr>
          <w:rFonts w:cs="Open Sans"/>
          <w:i/>
          <w:iCs/>
        </w:rPr>
        <w:t xml:space="preserve">“ </w:t>
      </w:r>
      <w:r>
        <w:rPr>
          <w:rFonts w:cs="Open Sans"/>
        </w:rPr>
        <w:t>uvádí</w:t>
      </w:r>
      <w:r w:rsidRPr="007F5B86">
        <w:rPr>
          <w:rFonts w:cs="Open Sans"/>
        </w:rPr>
        <w:t xml:space="preserve"> Jiří Fajt</w:t>
      </w:r>
      <w:r w:rsidR="00192ADA">
        <w:rPr>
          <w:rFonts w:cs="Open Sans"/>
        </w:rPr>
        <w:t xml:space="preserve">, </w:t>
      </w:r>
      <w:r w:rsidR="00192ADA" w:rsidRPr="007F5B86">
        <w:rPr>
          <w:rFonts w:cs="Open Sans"/>
        </w:rPr>
        <w:t>investiční specialista společnosti FinGO.</w:t>
      </w:r>
    </w:p>
    <w:p w14:paraId="4C0E6EF5" w14:textId="153AC117" w:rsidR="007F5B86" w:rsidRPr="007F5B86" w:rsidRDefault="006A5AF1" w:rsidP="007F5B86">
      <w:pPr>
        <w:rPr>
          <w:rFonts w:cs="Open Sans"/>
        </w:rPr>
      </w:pPr>
      <w:r>
        <w:rPr>
          <w:rFonts w:cs="Open Sans"/>
        </w:rPr>
        <w:t>Internetové</w:t>
      </w:r>
      <w:r w:rsidRPr="007F5B86">
        <w:rPr>
          <w:rFonts w:cs="Open Sans"/>
        </w:rPr>
        <w:t xml:space="preserve"> podvody zasahují všechny společenské vrstvy bez ohledu na vzdělání či věk.</w:t>
      </w:r>
      <w:r>
        <w:rPr>
          <w:rFonts w:cs="Open Sans"/>
        </w:rPr>
        <w:t xml:space="preserve"> </w:t>
      </w:r>
      <w:r w:rsidR="007F5B86" w:rsidRPr="007F5B86">
        <w:rPr>
          <w:rFonts w:cs="Open Sans"/>
        </w:rPr>
        <w:t xml:space="preserve">Alarmující jsou případy </w:t>
      </w:r>
      <w:r w:rsidR="006B5676">
        <w:rPr>
          <w:rFonts w:cs="Open Sans"/>
        </w:rPr>
        <w:t xml:space="preserve">ekonomicky </w:t>
      </w:r>
      <w:r w:rsidR="007F5B86" w:rsidRPr="007F5B86">
        <w:rPr>
          <w:rFonts w:cs="Open Sans"/>
        </w:rPr>
        <w:t xml:space="preserve">vzdělaných lidí, kteří se </w:t>
      </w:r>
      <w:r w:rsidR="003005E6">
        <w:rPr>
          <w:rFonts w:cs="Open Sans"/>
        </w:rPr>
        <w:t>rovněž</w:t>
      </w:r>
      <w:r w:rsidR="00DB6977">
        <w:rPr>
          <w:rFonts w:cs="Open Sans"/>
        </w:rPr>
        <w:t xml:space="preserve"> stávají</w:t>
      </w:r>
      <w:r w:rsidR="003005E6">
        <w:rPr>
          <w:rFonts w:cs="Open Sans"/>
        </w:rPr>
        <w:t xml:space="preserve"> </w:t>
      </w:r>
      <w:r w:rsidR="007F5B86" w:rsidRPr="007F5B86">
        <w:rPr>
          <w:rFonts w:cs="Open Sans"/>
        </w:rPr>
        <w:t>oběťmi podvodníků</w:t>
      </w:r>
      <w:r w:rsidR="00FA0E9D">
        <w:rPr>
          <w:rFonts w:cs="Open Sans"/>
        </w:rPr>
        <w:t>:</w:t>
      </w:r>
      <w:r w:rsidR="007F5B86" w:rsidRPr="007F5B86">
        <w:rPr>
          <w:rFonts w:cs="Open Sans"/>
        </w:rPr>
        <w:t xml:space="preserve"> </w:t>
      </w:r>
      <w:r w:rsidR="00610FBA" w:rsidRPr="00610FBA">
        <w:rPr>
          <w:rFonts w:cs="Open Sans"/>
          <w:i/>
          <w:iCs/>
        </w:rPr>
        <w:t>„</w:t>
      </w:r>
      <w:r w:rsidR="007F5B86" w:rsidRPr="00610FBA">
        <w:rPr>
          <w:rFonts w:cs="Open Sans"/>
          <w:i/>
          <w:iCs/>
        </w:rPr>
        <w:t xml:space="preserve">Nedávno jsme řešili případ vysokoškolsky vzdělané podnikatelky, která přišla o </w:t>
      </w:r>
      <w:r w:rsidR="0071162F">
        <w:rPr>
          <w:rFonts w:cs="Open Sans"/>
          <w:i/>
          <w:iCs/>
        </w:rPr>
        <w:t>dva</w:t>
      </w:r>
      <w:r w:rsidR="007F5B86" w:rsidRPr="00610FBA">
        <w:rPr>
          <w:rFonts w:cs="Open Sans"/>
          <w:i/>
          <w:iCs/>
        </w:rPr>
        <w:t xml:space="preserve"> miliony korun. Podvodníci ji přesvědčili k investování přes falešnou platformu a následně požadovali různé poplatky a daně za výběr </w:t>
      </w:r>
      <w:r w:rsidR="00D40EBB">
        <w:rPr>
          <w:rFonts w:cs="Open Sans"/>
          <w:i/>
          <w:iCs/>
        </w:rPr>
        <w:t>smyšlených</w:t>
      </w:r>
      <w:r w:rsidR="007F5B86" w:rsidRPr="00610FBA">
        <w:rPr>
          <w:rFonts w:cs="Open Sans"/>
          <w:i/>
          <w:iCs/>
        </w:rPr>
        <w:t xml:space="preserve"> zisků,</w:t>
      </w:r>
      <w:r w:rsidR="00610FBA" w:rsidRPr="00610FBA">
        <w:rPr>
          <w:rFonts w:cs="Open Sans"/>
          <w:i/>
          <w:iCs/>
        </w:rPr>
        <w:t>“</w:t>
      </w:r>
      <w:r w:rsidR="007F5B86" w:rsidRPr="007F5B86">
        <w:rPr>
          <w:rFonts w:cs="Open Sans"/>
        </w:rPr>
        <w:t xml:space="preserve"> vysvětluje </w:t>
      </w:r>
      <w:r w:rsidR="00A4653C">
        <w:rPr>
          <w:rFonts w:cs="Open Sans"/>
        </w:rPr>
        <w:t xml:space="preserve">Jiří </w:t>
      </w:r>
      <w:r w:rsidR="007F5B86" w:rsidRPr="007F5B86">
        <w:rPr>
          <w:rFonts w:cs="Open Sans"/>
        </w:rPr>
        <w:t>Fajt</w:t>
      </w:r>
      <w:r w:rsidR="00192ADA">
        <w:rPr>
          <w:rFonts w:cs="Open Sans"/>
        </w:rPr>
        <w:t>.</w:t>
      </w:r>
    </w:p>
    <w:p w14:paraId="2A42BF39" w14:textId="3722DAF0" w:rsidR="007F5B86" w:rsidRDefault="007F5B86" w:rsidP="007F5B86">
      <w:pPr>
        <w:rPr>
          <w:rFonts w:cs="Open Sans"/>
        </w:rPr>
      </w:pPr>
      <w:r w:rsidRPr="007F5B86">
        <w:rPr>
          <w:rFonts w:cs="Open Sans"/>
        </w:rPr>
        <w:t>Mezi oběťmi jsou i senioři. Osmdesátiletý muž přišel o 200 000 korun poté, co uvěřil podvodnici</w:t>
      </w:r>
      <w:r w:rsidR="003B252C">
        <w:rPr>
          <w:rFonts w:cs="Open Sans"/>
        </w:rPr>
        <w:t xml:space="preserve"> –</w:t>
      </w:r>
      <w:r w:rsidR="000054DA">
        <w:rPr>
          <w:rFonts w:cs="Open Sans"/>
        </w:rPr>
        <w:t xml:space="preserve"> </w:t>
      </w:r>
      <w:r w:rsidR="003B252C">
        <w:rPr>
          <w:rFonts w:cs="Open Sans"/>
        </w:rPr>
        <w:t>t</w:t>
      </w:r>
      <w:r w:rsidR="000054DA">
        <w:rPr>
          <w:rFonts w:cs="Open Sans"/>
        </w:rPr>
        <w:t>a si jeho důvěru získala pravidelnou komunikací přes WhatsApp.</w:t>
      </w:r>
    </w:p>
    <w:p w14:paraId="7447C9A2" w14:textId="77777777" w:rsidR="001A6B62" w:rsidRPr="001A6B62" w:rsidRDefault="001A6B62" w:rsidP="001A6B62">
      <w:pPr>
        <w:rPr>
          <w:rFonts w:cs="Open Sans"/>
        </w:rPr>
      </w:pPr>
      <w:r w:rsidRPr="001A6B62">
        <w:rPr>
          <w:rFonts w:cs="Open Sans"/>
          <w:b/>
          <w:bCs/>
        </w:rPr>
        <w:t>Jak podvodníci postupují</w:t>
      </w:r>
    </w:p>
    <w:p w14:paraId="19BE18A5" w14:textId="4E8FA852" w:rsidR="006F416D" w:rsidRDefault="00BC341C" w:rsidP="001A6B62">
      <w:pPr>
        <w:rPr>
          <w:rFonts w:cs="Open Sans"/>
        </w:rPr>
      </w:pPr>
      <w:r w:rsidRPr="00E600EF">
        <w:rPr>
          <w:rFonts w:cs="Open Sans"/>
        </w:rPr>
        <w:t>Podvodníci často používají vzdálený přístup k</w:t>
      </w:r>
      <w:r w:rsidR="005F4E2B">
        <w:rPr>
          <w:rFonts w:cs="Open Sans"/>
        </w:rPr>
        <w:t xml:space="preserve"> počítači </w:t>
      </w:r>
      <w:r w:rsidR="00E77D9C">
        <w:rPr>
          <w:rFonts w:cs="Open Sans"/>
        </w:rPr>
        <w:t xml:space="preserve">oběti </w:t>
      </w:r>
      <w:r w:rsidR="005F4E2B">
        <w:rPr>
          <w:rFonts w:cs="Open Sans"/>
        </w:rPr>
        <w:t>za účelem</w:t>
      </w:r>
      <w:r w:rsidR="005F4E2B" w:rsidRPr="005F4E2B">
        <w:rPr>
          <w:rFonts w:cs="Open Sans"/>
        </w:rPr>
        <w:t xml:space="preserve"> nákupu kryptoměn</w:t>
      </w:r>
      <w:r w:rsidR="005F4E2B">
        <w:rPr>
          <w:rFonts w:cs="Open Sans"/>
        </w:rPr>
        <w:t xml:space="preserve"> za </w:t>
      </w:r>
      <w:r w:rsidR="00E77D9C">
        <w:rPr>
          <w:rFonts w:cs="Open Sans"/>
        </w:rPr>
        <w:t xml:space="preserve">její </w:t>
      </w:r>
      <w:r w:rsidR="005F4E2B">
        <w:rPr>
          <w:rFonts w:cs="Open Sans"/>
        </w:rPr>
        <w:t>peníze</w:t>
      </w:r>
      <w:r w:rsidR="00E77D9C">
        <w:rPr>
          <w:rFonts w:cs="Open Sans"/>
        </w:rPr>
        <w:t xml:space="preserve"> </w:t>
      </w:r>
      <w:r w:rsidR="005F4E2B" w:rsidRPr="005F4E2B">
        <w:rPr>
          <w:rFonts w:cs="Open Sans"/>
        </w:rPr>
        <w:t>a</w:t>
      </w:r>
      <w:r w:rsidR="00E77D9C">
        <w:rPr>
          <w:rFonts w:cs="Open Sans"/>
        </w:rPr>
        <w:t xml:space="preserve"> následnému</w:t>
      </w:r>
      <w:r w:rsidR="005F4E2B" w:rsidRPr="005F4E2B">
        <w:rPr>
          <w:rFonts w:cs="Open Sans"/>
        </w:rPr>
        <w:t xml:space="preserve"> posílání kryptoměn na </w:t>
      </w:r>
      <w:r w:rsidR="00DC7E58">
        <w:rPr>
          <w:rFonts w:cs="Open Sans"/>
        </w:rPr>
        <w:t xml:space="preserve">vlastní </w:t>
      </w:r>
      <w:r w:rsidR="005F4E2B" w:rsidRPr="005F4E2B">
        <w:rPr>
          <w:rFonts w:cs="Open Sans"/>
        </w:rPr>
        <w:t>soukromé peněženky.</w:t>
      </w:r>
      <w:r w:rsidRPr="00E600EF">
        <w:rPr>
          <w:rFonts w:cs="Open Sans"/>
        </w:rPr>
        <w:t xml:space="preserve"> </w:t>
      </w:r>
      <w:r w:rsidR="00ED3560">
        <w:rPr>
          <w:rFonts w:cs="Open Sans"/>
        </w:rPr>
        <w:t>Rovněž využívají</w:t>
      </w:r>
      <w:r w:rsidRPr="00E600EF">
        <w:rPr>
          <w:rFonts w:cs="Open Sans"/>
        </w:rPr>
        <w:t xml:space="preserve"> falešné investiční platformy. Typické je, že začínají s malými částkami</w:t>
      </w:r>
      <w:r w:rsidR="003645A4">
        <w:rPr>
          <w:rFonts w:cs="Open Sans"/>
        </w:rPr>
        <w:t>,</w:t>
      </w:r>
      <w:r w:rsidRPr="00E600EF">
        <w:rPr>
          <w:rFonts w:cs="Open Sans"/>
        </w:rPr>
        <w:t xml:space="preserve"> postupně získávají důvěru obětí</w:t>
      </w:r>
      <w:r w:rsidR="003645A4">
        <w:rPr>
          <w:rFonts w:cs="Open Sans"/>
        </w:rPr>
        <w:t xml:space="preserve"> a nutí je do odesílání stále vyšších a vyšších částek.</w:t>
      </w:r>
    </w:p>
    <w:p w14:paraId="010F314F" w14:textId="181264EC" w:rsidR="001A6B62" w:rsidRDefault="001A6B62" w:rsidP="001A6B62">
      <w:pPr>
        <w:rPr>
          <w:rFonts w:cs="Open Sans"/>
        </w:rPr>
      </w:pPr>
      <w:r w:rsidRPr="001A6B62">
        <w:rPr>
          <w:rFonts w:cs="Open Sans"/>
          <w:i/>
          <w:iCs/>
        </w:rPr>
        <w:t>„Schéma podvodu je vždy podobné,“</w:t>
      </w:r>
      <w:r w:rsidRPr="001A6B62">
        <w:rPr>
          <w:rFonts w:cs="Open Sans"/>
        </w:rPr>
        <w:t xml:space="preserve"> </w:t>
      </w:r>
      <w:r w:rsidR="00640184">
        <w:rPr>
          <w:rFonts w:cs="Open Sans"/>
        </w:rPr>
        <w:t>říká</w:t>
      </w:r>
      <w:r w:rsidRPr="001A6B62">
        <w:rPr>
          <w:rFonts w:cs="Open Sans"/>
        </w:rPr>
        <w:t xml:space="preserve"> Fajt</w:t>
      </w:r>
      <w:r w:rsidR="00104E87">
        <w:rPr>
          <w:rFonts w:cs="Open Sans"/>
        </w:rPr>
        <w:t>.</w:t>
      </w:r>
      <w:r w:rsidRPr="001A6B62">
        <w:rPr>
          <w:rFonts w:cs="Open Sans"/>
        </w:rPr>
        <w:t xml:space="preserve"> </w:t>
      </w:r>
      <w:r w:rsidRPr="001A6B62">
        <w:rPr>
          <w:rFonts w:cs="Open Sans"/>
          <w:i/>
          <w:iCs/>
        </w:rPr>
        <w:t xml:space="preserve">„Podvodníci nejprve kontaktují oběť přes sociální sítě nebo telefon s nabídkou 'garantovaných zisků'. Komunikace probíhá přes WhatsApp a používají profesionálně vypadající falešné investiční platformy. Začínají s malou investicí, například 10 000 Kč, kterou údajně </w:t>
      </w:r>
      <w:r w:rsidR="00ED3560">
        <w:rPr>
          <w:rFonts w:cs="Open Sans"/>
          <w:i/>
          <w:iCs/>
        </w:rPr>
        <w:t xml:space="preserve">mnohonásobně </w:t>
      </w:r>
      <w:r w:rsidRPr="001A6B62">
        <w:rPr>
          <w:rFonts w:cs="Open Sans"/>
          <w:i/>
          <w:iCs/>
        </w:rPr>
        <w:t>zhodnotí během několika dní</w:t>
      </w:r>
      <w:r w:rsidR="009E1077">
        <w:rPr>
          <w:rFonts w:cs="Open Sans"/>
          <w:i/>
          <w:iCs/>
        </w:rPr>
        <w:t>,</w:t>
      </w:r>
      <w:r w:rsidRPr="001A6B62">
        <w:rPr>
          <w:rFonts w:cs="Open Sans"/>
          <w:i/>
          <w:iCs/>
        </w:rPr>
        <w:t>“</w:t>
      </w:r>
      <w:r w:rsidR="009E1077">
        <w:rPr>
          <w:rFonts w:cs="Open Sans"/>
        </w:rPr>
        <w:t xml:space="preserve"> pokračuje.</w:t>
      </w:r>
    </w:p>
    <w:p w14:paraId="3EE35514" w14:textId="76B280E0" w:rsidR="001A6B62" w:rsidRPr="001A6B62" w:rsidRDefault="004050D5" w:rsidP="001A6B62">
      <w:pPr>
        <w:rPr>
          <w:rFonts w:cs="Open Sans"/>
        </w:rPr>
      </w:pPr>
      <w:r w:rsidRPr="004050D5">
        <w:rPr>
          <w:rFonts w:cs="Open Sans"/>
        </w:rPr>
        <w:t>Oběť je motivována falešnými grafy, které ukazují neexistující růst investice</w:t>
      </w:r>
      <w:r>
        <w:rPr>
          <w:rFonts w:cs="Open Sans"/>
        </w:rPr>
        <w:t>, k dalším a dalším vkladům.</w:t>
      </w:r>
      <w:r w:rsidR="00717D89">
        <w:rPr>
          <w:rFonts w:cs="Open Sans"/>
        </w:rPr>
        <w:t xml:space="preserve"> </w:t>
      </w:r>
      <w:r w:rsidR="00FC31E2">
        <w:rPr>
          <w:rFonts w:cs="Open Sans"/>
          <w:i/>
          <w:iCs/>
        </w:rPr>
        <w:t>„</w:t>
      </w:r>
      <w:r w:rsidR="001A6B62" w:rsidRPr="001A6B62">
        <w:rPr>
          <w:rFonts w:cs="Open Sans"/>
          <w:i/>
          <w:iCs/>
        </w:rPr>
        <w:t>Když oběť chce peníze vybrat, požadují od ní podvodníci různé poplatky a daně. V této fázi už jsou velmi nátlakoví a nutí oběti brát si půjčky nebo prodávat majetek. Pokud oběť projeví podezření, ukončí s ní komunikaci a zmizí. Často se však po měsících ozývají znovu jako údajní 'soukromí detektivové', kteří slibují pomoc s návratem peněz. Samozřejmě za nemalý poplatek,“</w:t>
      </w:r>
      <w:r w:rsidR="001A6B62" w:rsidRPr="001A6B62">
        <w:rPr>
          <w:rFonts w:cs="Open Sans"/>
        </w:rPr>
        <w:t xml:space="preserve"> dodává Fajt.</w:t>
      </w:r>
    </w:p>
    <w:p w14:paraId="3243AEA5" w14:textId="14B6832F" w:rsidR="001A6B62" w:rsidRPr="001A6B62" w:rsidRDefault="00ED3560" w:rsidP="001A6B62">
      <w:pPr>
        <w:rPr>
          <w:rFonts w:cs="Open Sans"/>
        </w:rPr>
      </w:pPr>
      <w:r>
        <w:rPr>
          <w:rFonts w:cs="Open Sans"/>
          <w:b/>
          <w:bCs/>
        </w:rPr>
        <w:br w:type="column"/>
      </w:r>
      <w:r w:rsidR="001A6B62" w:rsidRPr="001A6B62">
        <w:rPr>
          <w:rFonts w:cs="Open Sans"/>
          <w:b/>
          <w:bCs/>
        </w:rPr>
        <w:lastRenderedPageBreak/>
        <w:t>Co dělat v případě podvodu?</w:t>
      </w:r>
    </w:p>
    <w:p w14:paraId="698FAEBB" w14:textId="348B94B9" w:rsidR="001A6B62" w:rsidRPr="001A6B62" w:rsidRDefault="001A6B62" w:rsidP="001A6B62">
      <w:pPr>
        <w:rPr>
          <w:rFonts w:cs="Open Sans"/>
        </w:rPr>
      </w:pPr>
      <w:r w:rsidRPr="00F4017A">
        <w:rPr>
          <w:rFonts w:cs="Open Sans"/>
          <w:i/>
          <w:iCs/>
        </w:rPr>
        <w:t>„</w:t>
      </w:r>
      <w:r w:rsidRPr="001A6B62">
        <w:rPr>
          <w:rFonts w:cs="Open Sans"/>
          <w:i/>
          <w:iCs/>
        </w:rPr>
        <w:t>Nejdůležitější je okamžitě přerušit komunikaci s podvodníky a obrátit se na policii. I když je šance na návrat peněz malá, policie tyto případy řeší na mezinárodní úrovni. Pokud si oběť vzala půjčku, doporučujeme kontaktovat banku. Po předložení policejního protokolu banky často přistoupí na úpravu splátkového kalendáře,</w:t>
      </w:r>
      <w:r w:rsidR="00F4017A" w:rsidRPr="00F4017A">
        <w:rPr>
          <w:rFonts w:cs="Open Sans"/>
          <w:i/>
          <w:iCs/>
        </w:rPr>
        <w:t>“</w:t>
      </w:r>
      <w:r w:rsidRPr="001A6B62">
        <w:rPr>
          <w:rFonts w:cs="Open Sans"/>
        </w:rPr>
        <w:t xml:space="preserve"> uzavírá </w:t>
      </w:r>
      <w:r w:rsidR="008A4C86">
        <w:rPr>
          <w:rFonts w:cs="Open Sans"/>
        </w:rPr>
        <w:t xml:space="preserve">Jiří </w:t>
      </w:r>
      <w:r w:rsidRPr="001A6B62">
        <w:rPr>
          <w:rFonts w:cs="Open Sans"/>
        </w:rPr>
        <w:t>Fajt</w:t>
      </w:r>
      <w:r w:rsidR="008A4C86">
        <w:rPr>
          <w:rFonts w:cs="Open Sans"/>
        </w:rPr>
        <w:t xml:space="preserve"> z FinGO.</w:t>
      </w:r>
    </w:p>
    <w:p w14:paraId="3D45A422" w14:textId="2A0064E2" w:rsidR="001A6B62" w:rsidRDefault="00424EEA" w:rsidP="00CA1E28">
      <w:pPr>
        <w:rPr>
          <w:rFonts w:cs="Open Sans"/>
        </w:rPr>
      </w:pPr>
      <w:r w:rsidRPr="00424EEA">
        <w:rPr>
          <w:rFonts w:cs="Open Sans"/>
        </w:rPr>
        <w:t>Přestože jsou investiční podvody stále sofistikovanější, základní pravidlo zůstává stejné</w:t>
      </w:r>
      <w:r w:rsidR="00B849C0">
        <w:rPr>
          <w:rFonts w:cs="Open Sans"/>
        </w:rPr>
        <w:t>:</w:t>
      </w:r>
      <w:r w:rsidRPr="00424EEA">
        <w:rPr>
          <w:rFonts w:cs="Open Sans"/>
        </w:rPr>
        <w:t xml:space="preserve"> nabídky nereálně vysokých výnosů za krátkou dobu jsou vždy podezřelé. Odborníci proto doporučují před jakoukoliv investicí důkladně prověřit, s kým jednáme, a v případě pochybností se poradit s nezávislým finančním poradcem nebo bankou.</w:t>
      </w:r>
    </w:p>
    <w:p w14:paraId="117DFF75" w14:textId="77777777" w:rsidR="00DE0C93" w:rsidRPr="00DE0C93" w:rsidRDefault="00DE0C93" w:rsidP="00CA1E28">
      <w:pPr>
        <w:rPr>
          <w:rFonts w:cs="Open Sans"/>
        </w:rPr>
      </w:pPr>
    </w:p>
    <w:p w14:paraId="57CEC546" w14:textId="4786C3F5" w:rsidR="00712072" w:rsidRPr="00415C0F" w:rsidRDefault="00712072" w:rsidP="00C00401">
      <w:r w:rsidRPr="005237C1">
        <w:rPr>
          <w:rFonts w:cs="Open Sans"/>
          <w:b/>
          <w:bCs/>
          <w:i/>
          <w:iCs/>
          <w:sz w:val="20"/>
          <w:szCs w:val="20"/>
        </w:rPr>
        <w:t xml:space="preserve">O společnosti </w:t>
      </w:r>
      <w:hyperlink r:id="rId11" w:history="1">
        <w:r w:rsidRPr="00B75B47">
          <w:rPr>
            <w:rStyle w:val="Hypertextovodkaz"/>
            <w:rFonts w:cs="Open Sans"/>
            <w:b/>
            <w:bCs/>
            <w:i/>
            <w:iCs/>
            <w:color w:val="C45911" w:themeColor="accent2" w:themeShade="BF"/>
            <w:sz w:val="20"/>
            <w:szCs w:val="20"/>
          </w:rPr>
          <w:t>FinGO</w:t>
        </w:r>
      </w:hyperlink>
      <w:r w:rsidRPr="005237C1">
        <w:rPr>
          <w:rFonts w:cs="Open Sans"/>
          <w:b/>
          <w:bCs/>
          <w:i/>
          <w:iCs/>
          <w:sz w:val="20"/>
          <w:szCs w:val="20"/>
        </w:rPr>
        <w:t>:</w:t>
      </w:r>
    </w:p>
    <w:p w14:paraId="061859F8" w14:textId="5233048A" w:rsidR="00C5781C" w:rsidRDefault="00712072" w:rsidP="00C00401">
      <w:pPr>
        <w:rPr>
          <w:rFonts w:cs="Open Sans"/>
          <w:i/>
          <w:iCs/>
          <w:sz w:val="20"/>
          <w:szCs w:val="20"/>
        </w:rPr>
      </w:pPr>
      <w:r w:rsidRPr="0085622D">
        <w:rPr>
          <w:rFonts w:cs="Open Sans"/>
          <w:i/>
          <w:iCs/>
          <w:sz w:val="20"/>
          <w:szCs w:val="20"/>
        </w:rPr>
        <w:t>Digitální finančně-poradenská společnost FinGO.cz začala v České republice působit v roce 2021 s cílem přinést makléřům i klientům pohodlí, férovost a díky digitálním technologiím také příležitost, jak oslovit nové klienty. V současnosti má společnost přes</w:t>
      </w:r>
      <w:r w:rsidR="00286CB8">
        <w:rPr>
          <w:rFonts w:cs="Open Sans"/>
          <w:i/>
          <w:iCs/>
          <w:sz w:val="20"/>
          <w:szCs w:val="20"/>
        </w:rPr>
        <w:t xml:space="preserve"> 600 </w:t>
      </w:r>
      <w:r w:rsidRPr="0085622D">
        <w:rPr>
          <w:rFonts w:cs="Open Sans"/>
          <w:i/>
          <w:iCs/>
          <w:sz w:val="20"/>
          <w:szCs w:val="20"/>
        </w:rPr>
        <w:t>vázaných zástupců, kteří působí po celé České republice. V roce 2022 patřila k nejrychleji rostoucím makléřským společnostem, přičemž v oblasti úvěrů rostla nejrychleji ze všech. Významný podíl produkce FinGO.cz pochází z online příležitostí, které společnost sama vytváří pro své vázané zástupce.</w:t>
      </w:r>
      <w:r w:rsidR="00411E01">
        <w:rPr>
          <w:rFonts w:cs="Open Sans"/>
          <w:i/>
          <w:iCs/>
          <w:sz w:val="20"/>
          <w:szCs w:val="20"/>
        </w:rPr>
        <w:t xml:space="preserve"> </w:t>
      </w:r>
      <w:r w:rsidR="00411E01" w:rsidRPr="00411E01">
        <w:rPr>
          <w:rFonts w:cs="Open Sans"/>
          <w:i/>
          <w:iCs/>
          <w:sz w:val="20"/>
          <w:szCs w:val="20"/>
        </w:rPr>
        <w:t xml:space="preserve">Společnost </w:t>
      </w:r>
      <w:r w:rsidR="00411E01">
        <w:rPr>
          <w:rFonts w:cs="Open Sans"/>
          <w:i/>
          <w:iCs/>
          <w:sz w:val="20"/>
          <w:szCs w:val="20"/>
        </w:rPr>
        <w:t>se</w:t>
      </w:r>
      <w:r w:rsidR="00411E01" w:rsidRPr="00411E01">
        <w:rPr>
          <w:rFonts w:cs="Open Sans"/>
          <w:i/>
          <w:iCs/>
          <w:sz w:val="20"/>
          <w:szCs w:val="20"/>
        </w:rPr>
        <w:t xml:space="preserve"> 1. </w:t>
      </w:r>
      <w:r w:rsidR="00411E01">
        <w:rPr>
          <w:rFonts w:cs="Open Sans"/>
          <w:i/>
          <w:iCs/>
          <w:sz w:val="20"/>
          <w:szCs w:val="20"/>
        </w:rPr>
        <w:t>listopadu</w:t>
      </w:r>
      <w:r w:rsidR="00411E01" w:rsidRPr="00411E01">
        <w:rPr>
          <w:rFonts w:cs="Open Sans"/>
          <w:i/>
          <w:iCs/>
          <w:sz w:val="20"/>
          <w:szCs w:val="20"/>
        </w:rPr>
        <w:t xml:space="preserve"> 2024 st</w:t>
      </w:r>
      <w:r w:rsidR="00411E01">
        <w:rPr>
          <w:rFonts w:cs="Open Sans"/>
          <w:i/>
          <w:iCs/>
          <w:sz w:val="20"/>
          <w:szCs w:val="20"/>
        </w:rPr>
        <w:t>ala</w:t>
      </w:r>
      <w:r w:rsidR="00411E01" w:rsidRPr="00411E01">
        <w:rPr>
          <w:rFonts w:cs="Open Sans"/>
          <w:i/>
          <w:iCs/>
          <w:sz w:val="20"/>
          <w:szCs w:val="20"/>
        </w:rPr>
        <w:t xml:space="preserve"> členem České asociace společností finančního poradenství a zprostředkování.</w:t>
      </w:r>
    </w:p>
    <w:p w14:paraId="6FEFC148" w14:textId="2B08B43C" w:rsidR="0096059C" w:rsidRPr="0085622D" w:rsidRDefault="00640C88" w:rsidP="00C00401">
      <w:pPr>
        <w:rPr>
          <w:rFonts w:cs="Open Sans"/>
          <w:i/>
          <w:iCs/>
          <w:sz w:val="20"/>
          <w:szCs w:val="20"/>
        </w:rPr>
      </w:pPr>
      <w:r w:rsidRPr="0085622D">
        <w:rPr>
          <w:rFonts w:cs="Open Sans"/>
          <w:noProof/>
        </w:rPr>
        <w:drawing>
          <wp:anchor distT="0" distB="0" distL="114300" distR="114300" simplePos="0" relativeHeight="251665408" behindDoc="0" locked="0" layoutInCell="1" allowOverlap="1" wp14:anchorId="5942909A" wp14:editId="10DFDE68">
            <wp:simplePos x="0" y="0"/>
            <wp:positionH relativeFrom="margin">
              <wp:posOffset>5693410</wp:posOffset>
            </wp:positionH>
            <wp:positionV relativeFrom="paragraph">
              <wp:posOffset>1660525</wp:posOffset>
            </wp:positionV>
            <wp:extent cx="572135" cy="431800"/>
            <wp:effectExtent l="0" t="0" r="0" b="6350"/>
            <wp:wrapSquare wrapText="bothSides"/>
            <wp:docPr id="1430303569" name="Obrázek 4">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0303569" name="Obrázek 4">
                      <a:hlinkClick r:id="rId12"/>
                    </pic:cNvPr>
                    <pic:cNvPicPr/>
                  </pic:nvPicPr>
                  <pic:blipFill>
                    <a:blip r:embed="rId13">
                      <a:extLst>
                        <a:ext uri="{28A0092B-C50C-407E-A947-70E740481C1C}">
                          <a14:useLocalDpi xmlns:a14="http://schemas.microsoft.com/office/drawing/2010/main" val="0"/>
                        </a:ext>
                      </a:extLst>
                    </a:blip>
                    <a:stretch>
                      <a:fillRect/>
                    </a:stretch>
                  </pic:blipFill>
                  <pic:spPr>
                    <a:xfrm>
                      <a:off x="0" y="0"/>
                      <a:ext cx="572135" cy="431800"/>
                    </a:xfrm>
                    <a:prstGeom prst="rect">
                      <a:avLst/>
                    </a:prstGeom>
                  </pic:spPr>
                </pic:pic>
              </a:graphicData>
            </a:graphic>
            <wp14:sizeRelH relativeFrom="margin">
              <wp14:pctWidth>0</wp14:pctWidth>
            </wp14:sizeRelH>
            <wp14:sizeRelV relativeFrom="margin">
              <wp14:pctHeight>0</wp14:pctHeight>
            </wp14:sizeRelV>
          </wp:anchor>
        </w:drawing>
      </w:r>
      <w:r w:rsidRPr="0085622D">
        <w:rPr>
          <w:rFonts w:cs="Open Sans"/>
          <w:noProof/>
        </w:rPr>
        <w:drawing>
          <wp:anchor distT="0" distB="0" distL="114300" distR="114300" simplePos="0" relativeHeight="251663360" behindDoc="0" locked="0" layoutInCell="1" allowOverlap="1" wp14:anchorId="53045D19" wp14:editId="2E564BD3">
            <wp:simplePos x="0" y="0"/>
            <wp:positionH relativeFrom="column">
              <wp:posOffset>5053330</wp:posOffset>
            </wp:positionH>
            <wp:positionV relativeFrom="paragraph">
              <wp:posOffset>1660525</wp:posOffset>
            </wp:positionV>
            <wp:extent cx="467995" cy="431800"/>
            <wp:effectExtent l="0" t="0" r="8255" b="6350"/>
            <wp:wrapSquare wrapText="bothSides"/>
            <wp:docPr id="415049230" name="Obrázek 5">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049230" name="Obrázek 5">
                      <a:hlinkClick r:id="rId14"/>
                    </pic:cNvPr>
                    <pic:cNvPicPr/>
                  </pic:nvPicPr>
                  <pic:blipFill>
                    <a:blip r:embed="rId15">
                      <a:extLst>
                        <a:ext uri="{28A0092B-C50C-407E-A947-70E740481C1C}">
                          <a14:useLocalDpi xmlns:a14="http://schemas.microsoft.com/office/drawing/2010/main" val="0"/>
                        </a:ext>
                      </a:extLst>
                    </a:blip>
                    <a:stretch>
                      <a:fillRect/>
                    </a:stretch>
                  </pic:blipFill>
                  <pic:spPr>
                    <a:xfrm>
                      <a:off x="0" y="0"/>
                      <a:ext cx="467995" cy="431800"/>
                    </a:xfrm>
                    <a:prstGeom prst="rect">
                      <a:avLst/>
                    </a:prstGeom>
                  </pic:spPr>
                </pic:pic>
              </a:graphicData>
            </a:graphic>
            <wp14:sizeRelH relativeFrom="margin">
              <wp14:pctWidth>0</wp14:pctWidth>
            </wp14:sizeRelH>
            <wp14:sizeRelV relativeFrom="margin">
              <wp14:pctHeight>0</wp14:pctHeight>
            </wp14:sizeRelV>
          </wp:anchor>
        </w:drawing>
      </w:r>
      <w:r w:rsidRPr="0085622D">
        <w:rPr>
          <w:rFonts w:cs="Open Sans"/>
          <w:noProof/>
        </w:rPr>
        <w:drawing>
          <wp:anchor distT="0" distB="0" distL="114300" distR="114300" simplePos="0" relativeHeight="251661312" behindDoc="0" locked="0" layoutInCell="1" allowOverlap="1" wp14:anchorId="334490BB" wp14:editId="29A2D813">
            <wp:simplePos x="0" y="0"/>
            <wp:positionH relativeFrom="margin">
              <wp:posOffset>4265930</wp:posOffset>
            </wp:positionH>
            <wp:positionV relativeFrom="paragraph">
              <wp:posOffset>1655445</wp:posOffset>
            </wp:positionV>
            <wp:extent cx="845820" cy="431800"/>
            <wp:effectExtent l="0" t="0" r="0" b="6350"/>
            <wp:wrapSquare wrapText="bothSides"/>
            <wp:docPr id="1399757103" name="Obrázek 6">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9757103" name="Obrázek 6">
                      <a:hlinkClick r:id="rId16"/>
                    </pic:cNvPr>
                    <pic:cNvPicPr/>
                  </pic:nvPicPr>
                  <pic:blipFill>
                    <a:blip r:embed="rId17">
                      <a:extLst>
                        <a:ext uri="{28A0092B-C50C-407E-A947-70E740481C1C}">
                          <a14:useLocalDpi xmlns:a14="http://schemas.microsoft.com/office/drawing/2010/main" val="0"/>
                        </a:ext>
                      </a:extLst>
                    </a:blip>
                    <a:stretch>
                      <a:fillRect/>
                    </a:stretch>
                  </pic:blipFill>
                  <pic:spPr>
                    <a:xfrm>
                      <a:off x="0" y="0"/>
                      <a:ext cx="845820" cy="431800"/>
                    </a:xfrm>
                    <a:prstGeom prst="rect">
                      <a:avLst/>
                    </a:prstGeom>
                  </pic:spPr>
                </pic:pic>
              </a:graphicData>
            </a:graphic>
            <wp14:sizeRelH relativeFrom="margin">
              <wp14:pctWidth>0</wp14:pctWidth>
            </wp14:sizeRelH>
            <wp14:sizeRelV relativeFrom="margin">
              <wp14:pctHeight>0</wp14:pctHeight>
            </wp14:sizeRelV>
          </wp:anchor>
        </w:drawing>
      </w:r>
      <w:r w:rsidRPr="0085622D">
        <w:rPr>
          <w:rFonts w:cs="Open Sans"/>
          <w:noProof/>
        </w:rPr>
        <w:drawing>
          <wp:anchor distT="0" distB="0" distL="114300" distR="114300" simplePos="0" relativeHeight="251659264" behindDoc="0" locked="0" layoutInCell="1" allowOverlap="1" wp14:anchorId="5BD6DE5E" wp14:editId="24EA21E6">
            <wp:simplePos x="0" y="0"/>
            <wp:positionH relativeFrom="margin">
              <wp:posOffset>3815080</wp:posOffset>
            </wp:positionH>
            <wp:positionV relativeFrom="paragraph">
              <wp:posOffset>1655445</wp:posOffset>
            </wp:positionV>
            <wp:extent cx="460375" cy="431800"/>
            <wp:effectExtent l="0" t="0" r="0" b="6350"/>
            <wp:wrapSquare wrapText="bothSides"/>
            <wp:docPr id="2096601148" name="Obrázek 7">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6601148" name="Obrázek 7">
                      <a:hlinkClick r:id="rId18"/>
                    </pic:cNvPr>
                    <pic:cNvPicPr/>
                  </pic:nvPicPr>
                  <pic:blipFill>
                    <a:blip r:embed="rId19">
                      <a:extLst>
                        <a:ext uri="{28A0092B-C50C-407E-A947-70E740481C1C}">
                          <a14:useLocalDpi xmlns:a14="http://schemas.microsoft.com/office/drawing/2010/main" val="0"/>
                        </a:ext>
                      </a:extLst>
                    </a:blip>
                    <a:stretch>
                      <a:fillRect/>
                    </a:stretch>
                  </pic:blipFill>
                  <pic:spPr>
                    <a:xfrm>
                      <a:off x="0" y="0"/>
                      <a:ext cx="460375" cy="431800"/>
                    </a:xfrm>
                    <a:prstGeom prst="rect">
                      <a:avLst/>
                    </a:prstGeom>
                  </pic:spPr>
                </pic:pic>
              </a:graphicData>
            </a:graphic>
            <wp14:sizeRelH relativeFrom="margin">
              <wp14:pctWidth>0</wp14:pctWidth>
            </wp14:sizeRelH>
            <wp14:sizeRelV relativeFrom="margin">
              <wp14:pctHeight>0</wp14:pctHeight>
            </wp14:sizeRelV>
          </wp:anchor>
        </w:drawing>
      </w:r>
      <w:r w:rsidR="00712072" w:rsidRPr="0085622D">
        <w:rPr>
          <w:rFonts w:cs="Open Sans"/>
          <w:i/>
          <w:iCs/>
          <w:sz w:val="20"/>
          <w:szCs w:val="20"/>
        </w:rPr>
        <w:t xml:space="preserve">Společnost FinGO je součástí lokální investiční skupiny InTeFi Capital podnikatele a investora Lukáše Nováka. Skupina vlastní a řídí české a slovenské společnosti z oblastí informačních technologií, financí, a real estate developmentu. Podíl vlastní například v technologické skupině BiQ Group, která vytváří komplexní a udržitelné IT projekty s budoucností. Společnost FinGO.sk byla založena před </w:t>
      </w:r>
      <w:r w:rsidR="0043442B">
        <w:rPr>
          <w:rFonts w:cs="Open Sans"/>
          <w:i/>
          <w:iCs/>
          <w:sz w:val="20"/>
          <w:szCs w:val="20"/>
        </w:rPr>
        <w:t>šesti</w:t>
      </w:r>
      <w:r w:rsidR="0043442B" w:rsidRPr="0085622D">
        <w:rPr>
          <w:rFonts w:cs="Open Sans"/>
          <w:i/>
          <w:iCs/>
          <w:sz w:val="20"/>
          <w:szCs w:val="20"/>
        </w:rPr>
        <w:t xml:space="preserve"> </w:t>
      </w:r>
      <w:r w:rsidR="00F22B65">
        <w:rPr>
          <w:rFonts w:cs="Open Sans"/>
          <w:i/>
          <w:iCs/>
          <w:sz w:val="20"/>
          <w:szCs w:val="20"/>
        </w:rPr>
        <w:t>lety</w:t>
      </w:r>
      <w:r w:rsidR="00F22B65" w:rsidRPr="00F22B65">
        <w:rPr>
          <w:rFonts w:cs="Open Sans"/>
          <w:i/>
          <w:iCs/>
          <w:sz w:val="20"/>
          <w:szCs w:val="20"/>
        </w:rPr>
        <w:t xml:space="preserve">, poskytuje komplexní finanční služby a v současnosti je </w:t>
      </w:r>
      <w:r w:rsidR="00A62304">
        <w:rPr>
          <w:rFonts w:cs="Open Sans"/>
          <w:i/>
          <w:iCs/>
          <w:sz w:val="20"/>
          <w:szCs w:val="20"/>
        </w:rPr>
        <w:t>největším digitálním</w:t>
      </w:r>
      <w:r w:rsidR="00F22B65" w:rsidRPr="00F22B65">
        <w:rPr>
          <w:rFonts w:cs="Open Sans"/>
          <w:i/>
          <w:iCs/>
          <w:sz w:val="20"/>
          <w:szCs w:val="20"/>
        </w:rPr>
        <w:t xml:space="preserve"> maklé</w:t>
      </w:r>
      <w:r w:rsidR="00A62304">
        <w:rPr>
          <w:rFonts w:cs="Open Sans"/>
          <w:i/>
          <w:iCs/>
          <w:sz w:val="20"/>
          <w:szCs w:val="20"/>
        </w:rPr>
        <w:t>ře</w:t>
      </w:r>
      <w:r w:rsidR="00F22B65" w:rsidRPr="00F22B65">
        <w:rPr>
          <w:rFonts w:cs="Open Sans"/>
          <w:i/>
          <w:iCs/>
          <w:sz w:val="20"/>
          <w:szCs w:val="20"/>
        </w:rPr>
        <w:t>m na Slovensku. Více než 1 000 odborníků působí ve všech 79 okresech Slovenska a stará se o téměř 110 000 spokojených klientů.</w:t>
      </w:r>
    </w:p>
    <w:sectPr w:rsidR="0096059C" w:rsidRPr="0085622D">
      <w:headerReference w:type="default" r:id="rId20"/>
      <w:footerReference w:type="default" r:id="rId2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C608E1" w14:textId="77777777" w:rsidR="009D54F7" w:rsidRDefault="009D54F7" w:rsidP="00C00401">
      <w:r>
        <w:separator/>
      </w:r>
    </w:p>
  </w:endnote>
  <w:endnote w:type="continuationSeparator" w:id="0">
    <w:p w14:paraId="6B17EA08" w14:textId="77777777" w:rsidR="009D54F7" w:rsidRDefault="009D54F7" w:rsidP="00C004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Noto Sans Symbols">
    <w:altName w:val="Calibri"/>
    <w:charset w:val="00"/>
    <w:family w:val="auto"/>
    <w:pitch w:val="default"/>
  </w:font>
  <w:font w:name="Open Sans">
    <w:charset w:val="00"/>
    <w:family w:val="swiss"/>
    <w:pitch w:val="variable"/>
    <w:sig w:usb0="E00002EF" w:usb1="4000205B" w:usb2="00000028"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020"/>
      <w:gridCol w:w="3020"/>
      <w:gridCol w:w="3020"/>
    </w:tblGrid>
    <w:tr w:rsidR="7E791658" w14:paraId="7B7E4F7F" w14:textId="77777777" w:rsidTr="7E791658">
      <w:trPr>
        <w:trHeight w:val="300"/>
      </w:trPr>
      <w:tc>
        <w:tcPr>
          <w:tcW w:w="3020" w:type="dxa"/>
        </w:tcPr>
        <w:p w14:paraId="15343DB0" w14:textId="77777777" w:rsidR="7E791658" w:rsidRDefault="7E791658" w:rsidP="00C00401">
          <w:pPr>
            <w:pStyle w:val="Zhlav"/>
          </w:pPr>
        </w:p>
      </w:tc>
      <w:tc>
        <w:tcPr>
          <w:tcW w:w="3020" w:type="dxa"/>
        </w:tcPr>
        <w:p w14:paraId="102F4D46" w14:textId="77777777" w:rsidR="7E791658" w:rsidRDefault="7E791658" w:rsidP="00C00401">
          <w:pPr>
            <w:pStyle w:val="Zhlav"/>
          </w:pPr>
        </w:p>
      </w:tc>
      <w:tc>
        <w:tcPr>
          <w:tcW w:w="3020" w:type="dxa"/>
        </w:tcPr>
        <w:p w14:paraId="01B44316" w14:textId="77777777" w:rsidR="7E791658" w:rsidRDefault="7E791658" w:rsidP="00C00401">
          <w:pPr>
            <w:pStyle w:val="Zhlav"/>
          </w:pPr>
        </w:p>
      </w:tc>
    </w:tr>
  </w:tbl>
  <w:p w14:paraId="37BCB74C" w14:textId="77777777" w:rsidR="7E791658" w:rsidRDefault="7E791658" w:rsidP="00C00401">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EEA050" w14:textId="77777777" w:rsidR="009D54F7" w:rsidRDefault="009D54F7" w:rsidP="00C00401">
      <w:r>
        <w:separator/>
      </w:r>
    </w:p>
  </w:footnote>
  <w:footnote w:type="continuationSeparator" w:id="0">
    <w:p w14:paraId="72B9F5FE" w14:textId="77777777" w:rsidR="009D54F7" w:rsidRDefault="009D54F7" w:rsidP="00C004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B4CC11" w14:textId="77777777" w:rsidR="009B404E" w:rsidRPr="00C00401" w:rsidRDefault="009B404E" w:rsidP="00C00401">
    <w:pPr>
      <w:pStyle w:val="Zahlavi"/>
    </w:pPr>
    <w:r w:rsidRPr="00C00401">
      <w:drawing>
        <wp:anchor distT="0" distB="0" distL="114300" distR="114300" simplePos="0" relativeHeight="251658240" behindDoc="0" locked="0" layoutInCell="1" allowOverlap="1" wp14:anchorId="6845EDC8" wp14:editId="5DC0020C">
          <wp:simplePos x="0" y="0"/>
          <wp:positionH relativeFrom="column">
            <wp:posOffset>4310380</wp:posOffset>
          </wp:positionH>
          <wp:positionV relativeFrom="paragraph">
            <wp:posOffset>-325755</wp:posOffset>
          </wp:positionV>
          <wp:extent cx="1895475" cy="768985"/>
          <wp:effectExtent l="0" t="0" r="9525" b="0"/>
          <wp:wrapSquare wrapText="bothSides"/>
          <wp:docPr id="399986389" name="Grafický objek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986389" name="Grafický objekt 399986389"/>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895475" cy="768985"/>
                  </a:xfrm>
                  <a:prstGeom prst="rect">
                    <a:avLst/>
                  </a:prstGeom>
                </pic:spPr>
              </pic:pic>
            </a:graphicData>
          </a:graphic>
        </wp:anchor>
      </w:drawing>
    </w:r>
  </w:p>
  <w:p w14:paraId="3D056159" w14:textId="77777777" w:rsidR="009B404E" w:rsidRDefault="009B404E" w:rsidP="00C00401">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187FE8"/>
    <w:multiLevelType w:val="multilevel"/>
    <w:tmpl w:val="5BAE86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AB745DC"/>
    <w:multiLevelType w:val="hybridMultilevel"/>
    <w:tmpl w:val="8DAA3F46"/>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1F16F37"/>
    <w:multiLevelType w:val="multilevel"/>
    <w:tmpl w:val="D6BC9A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897135C"/>
    <w:multiLevelType w:val="hybridMultilevel"/>
    <w:tmpl w:val="88DCF7F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19E93D12"/>
    <w:multiLevelType w:val="hybridMultilevel"/>
    <w:tmpl w:val="49D281A4"/>
    <w:lvl w:ilvl="0" w:tplc="04050001">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5" w15:restartNumberingAfterBreak="0">
    <w:nsid w:val="363438E0"/>
    <w:multiLevelType w:val="multilevel"/>
    <w:tmpl w:val="335818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95824B5"/>
    <w:multiLevelType w:val="multilevel"/>
    <w:tmpl w:val="D2F6C6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BAC5539"/>
    <w:multiLevelType w:val="multilevel"/>
    <w:tmpl w:val="6A6621A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98A40ED"/>
    <w:multiLevelType w:val="hybridMultilevel"/>
    <w:tmpl w:val="58927160"/>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5CBD040F"/>
    <w:multiLevelType w:val="multilevel"/>
    <w:tmpl w:val="D038A2E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5F941F7"/>
    <w:multiLevelType w:val="multilevel"/>
    <w:tmpl w:val="DDBAE4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A1037AE"/>
    <w:multiLevelType w:val="multilevel"/>
    <w:tmpl w:val="B63C90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E3E032A"/>
    <w:multiLevelType w:val="multilevel"/>
    <w:tmpl w:val="45FA1A6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FBD6AF0"/>
    <w:multiLevelType w:val="hybridMultilevel"/>
    <w:tmpl w:val="7FAA3DAE"/>
    <w:lvl w:ilvl="0" w:tplc="04050001">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4" w15:restartNumberingAfterBreak="0">
    <w:nsid w:val="70AA0531"/>
    <w:multiLevelType w:val="multilevel"/>
    <w:tmpl w:val="B1A4553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3321472"/>
    <w:multiLevelType w:val="multilevel"/>
    <w:tmpl w:val="1E2854C2"/>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972757161">
    <w:abstractNumId w:val="15"/>
  </w:num>
  <w:num w:numId="2" w16cid:durableId="363099003">
    <w:abstractNumId w:val="3"/>
  </w:num>
  <w:num w:numId="3" w16cid:durableId="1533155299">
    <w:abstractNumId w:val="12"/>
  </w:num>
  <w:num w:numId="4" w16cid:durableId="1809980726">
    <w:abstractNumId w:val="14"/>
  </w:num>
  <w:num w:numId="5" w16cid:durableId="1958484008">
    <w:abstractNumId w:val="9"/>
  </w:num>
  <w:num w:numId="6" w16cid:durableId="854686921">
    <w:abstractNumId w:val="5"/>
  </w:num>
  <w:num w:numId="7" w16cid:durableId="1984118866">
    <w:abstractNumId w:val="7"/>
  </w:num>
  <w:num w:numId="8" w16cid:durableId="340671236">
    <w:abstractNumId w:val="2"/>
  </w:num>
  <w:num w:numId="9" w16cid:durableId="119307282">
    <w:abstractNumId w:val="1"/>
  </w:num>
  <w:num w:numId="10" w16cid:durableId="30503100">
    <w:abstractNumId w:val="8"/>
  </w:num>
  <w:num w:numId="11" w16cid:durableId="1274291723">
    <w:abstractNumId w:val="0"/>
  </w:num>
  <w:num w:numId="12" w16cid:durableId="239872061">
    <w:abstractNumId w:val="13"/>
  </w:num>
  <w:num w:numId="13" w16cid:durableId="732853463">
    <w:abstractNumId w:val="11"/>
  </w:num>
  <w:num w:numId="14" w16cid:durableId="271089249">
    <w:abstractNumId w:val="4"/>
  </w:num>
  <w:num w:numId="15" w16cid:durableId="716246798">
    <w:abstractNumId w:val="10"/>
  </w:num>
  <w:num w:numId="16" w16cid:durableId="65144510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6196"/>
    <w:rsid w:val="00003E76"/>
    <w:rsid w:val="00004410"/>
    <w:rsid w:val="000054DA"/>
    <w:rsid w:val="000073D8"/>
    <w:rsid w:val="00010B20"/>
    <w:rsid w:val="00012D02"/>
    <w:rsid w:val="00013920"/>
    <w:rsid w:val="00013C72"/>
    <w:rsid w:val="00016DBF"/>
    <w:rsid w:val="000213F9"/>
    <w:rsid w:val="00022C04"/>
    <w:rsid w:val="000232BB"/>
    <w:rsid w:val="000274C8"/>
    <w:rsid w:val="00027827"/>
    <w:rsid w:val="0003397C"/>
    <w:rsid w:val="00036CB0"/>
    <w:rsid w:val="00036DED"/>
    <w:rsid w:val="00044AF5"/>
    <w:rsid w:val="000460C4"/>
    <w:rsid w:val="00050FB3"/>
    <w:rsid w:val="00052C56"/>
    <w:rsid w:val="00055F53"/>
    <w:rsid w:val="00056809"/>
    <w:rsid w:val="000646B6"/>
    <w:rsid w:val="00065953"/>
    <w:rsid w:val="0006718E"/>
    <w:rsid w:val="00070CE2"/>
    <w:rsid w:val="00073C2D"/>
    <w:rsid w:val="00076806"/>
    <w:rsid w:val="00083A38"/>
    <w:rsid w:val="00085FBE"/>
    <w:rsid w:val="000927FB"/>
    <w:rsid w:val="00092E75"/>
    <w:rsid w:val="00092FF4"/>
    <w:rsid w:val="000934B3"/>
    <w:rsid w:val="00094ABB"/>
    <w:rsid w:val="00095497"/>
    <w:rsid w:val="000962CF"/>
    <w:rsid w:val="00096508"/>
    <w:rsid w:val="00096A89"/>
    <w:rsid w:val="000970DD"/>
    <w:rsid w:val="00097C95"/>
    <w:rsid w:val="000A1440"/>
    <w:rsid w:val="000A2B1A"/>
    <w:rsid w:val="000A3489"/>
    <w:rsid w:val="000A3D3E"/>
    <w:rsid w:val="000B0146"/>
    <w:rsid w:val="000B1D4B"/>
    <w:rsid w:val="000B4FF1"/>
    <w:rsid w:val="000B591F"/>
    <w:rsid w:val="000B6269"/>
    <w:rsid w:val="000B68AC"/>
    <w:rsid w:val="000C0719"/>
    <w:rsid w:val="000D0C58"/>
    <w:rsid w:val="000D1BEF"/>
    <w:rsid w:val="000D2673"/>
    <w:rsid w:val="000D493E"/>
    <w:rsid w:val="000D4E3E"/>
    <w:rsid w:val="000D6D02"/>
    <w:rsid w:val="000E0D1B"/>
    <w:rsid w:val="000E4BDF"/>
    <w:rsid w:val="000E5A63"/>
    <w:rsid w:val="000E5D6D"/>
    <w:rsid w:val="000E603B"/>
    <w:rsid w:val="000F1C46"/>
    <w:rsid w:val="000F2F50"/>
    <w:rsid w:val="0010033D"/>
    <w:rsid w:val="001036E9"/>
    <w:rsid w:val="00104E87"/>
    <w:rsid w:val="00105E53"/>
    <w:rsid w:val="001079B5"/>
    <w:rsid w:val="001079DE"/>
    <w:rsid w:val="00114A22"/>
    <w:rsid w:val="001151DC"/>
    <w:rsid w:val="00117EAA"/>
    <w:rsid w:val="00125DD6"/>
    <w:rsid w:val="001267DE"/>
    <w:rsid w:val="00136991"/>
    <w:rsid w:val="00137EF5"/>
    <w:rsid w:val="00141690"/>
    <w:rsid w:val="00145A00"/>
    <w:rsid w:val="00145C9C"/>
    <w:rsid w:val="00151075"/>
    <w:rsid w:val="00151752"/>
    <w:rsid w:val="00152681"/>
    <w:rsid w:val="0015277F"/>
    <w:rsid w:val="00154A71"/>
    <w:rsid w:val="00155502"/>
    <w:rsid w:val="00155FC6"/>
    <w:rsid w:val="00160E3C"/>
    <w:rsid w:val="001653DF"/>
    <w:rsid w:val="001726F3"/>
    <w:rsid w:val="0017389C"/>
    <w:rsid w:val="00174138"/>
    <w:rsid w:val="00175583"/>
    <w:rsid w:val="00180946"/>
    <w:rsid w:val="00180E6A"/>
    <w:rsid w:val="00182849"/>
    <w:rsid w:val="00184C4E"/>
    <w:rsid w:val="00185AB8"/>
    <w:rsid w:val="00185E44"/>
    <w:rsid w:val="0019198A"/>
    <w:rsid w:val="00192ADA"/>
    <w:rsid w:val="00194774"/>
    <w:rsid w:val="001A1E3F"/>
    <w:rsid w:val="001A2107"/>
    <w:rsid w:val="001A21A3"/>
    <w:rsid w:val="001A49E3"/>
    <w:rsid w:val="001A6B62"/>
    <w:rsid w:val="001B22FE"/>
    <w:rsid w:val="001B38DB"/>
    <w:rsid w:val="001B4EA0"/>
    <w:rsid w:val="001B62C3"/>
    <w:rsid w:val="001C1F70"/>
    <w:rsid w:val="001C46E6"/>
    <w:rsid w:val="001C7637"/>
    <w:rsid w:val="001D1FF3"/>
    <w:rsid w:val="001D36DC"/>
    <w:rsid w:val="001D588D"/>
    <w:rsid w:val="001D5DA3"/>
    <w:rsid w:val="001E24E9"/>
    <w:rsid w:val="001E30CC"/>
    <w:rsid w:val="001E6AB9"/>
    <w:rsid w:val="001E721B"/>
    <w:rsid w:val="001E7717"/>
    <w:rsid w:val="001F1B32"/>
    <w:rsid w:val="001F27CA"/>
    <w:rsid w:val="001F2AE4"/>
    <w:rsid w:val="001F3BEA"/>
    <w:rsid w:val="001F7059"/>
    <w:rsid w:val="002049BE"/>
    <w:rsid w:val="00204ED4"/>
    <w:rsid w:val="00205CB2"/>
    <w:rsid w:val="00211C6D"/>
    <w:rsid w:val="002120DC"/>
    <w:rsid w:val="00217E22"/>
    <w:rsid w:val="002215CF"/>
    <w:rsid w:val="00221636"/>
    <w:rsid w:val="00222C93"/>
    <w:rsid w:val="00230ED2"/>
    <w:rsid w:val="00231505"/>
    <w:rsid w:val="0023260C"/>
    <w:rsid w:val="00233C56"/>
    <w:rsid w:val="00233E02"/>
    <w:rsid w:val="0023554C"/>
    <w:rsid w:val="00240C03"/>
    <w:rsid w:val="00245AAA"/>
    <w:rsid w:val="002477B5"/>
    <w:rsid w:val="0025163A"/>
    <w:rsid w:val="00270047"/>
    <w:rsid w:val="00273C13"/>
    <w:rsid w:val="00274D63"/>
    <w:rsid w:val="00280C2B"/>
    <w:rsid w:val="00281436"/>
    <w:rsid w:val="002820CF"/>
    <w:rsid w:val="00283CFC"/>
    <w:rsid w:val="00284142"/>
    <w:rsid w:val="00286CB8"/>
    <w:rsid w:val="00286D3B"/>
    <w:rsid w:val="00287DF5"/>
    <w:rsid w:val="00291B6E"/>
    <w:rsid w:val="002927E2"/>
    <w:rsid w:val="002931AB"/>
    <w:rsid w:val="0029337C"/>
    <w:rsid w:val="002979E9"/>
    <w:rsid w:val="002A1B55"/>
    <w:rsid w:val="002A394A"/>
    <w:rsid w:val="002A61AE"/>
    <w:rsid w:val="002A62CB"/>
    <w:rsid w:val="002B4531"/>
    <w:rsid w:val="002B6A8F"/>
    <w:rsid w:val="002C1A9D"/>
    <w:rsid w:val="002C382A"/>
    <w:rsid w:val="002C73C1"/>
    <w:rsid w:val="002D2C19"/>
    <w:rsid w:val="002E0232"/>
    <w:rsid w:val="002E4DC7"/>
    <w:rsid w:val="002E58F8"/>
    <w:rsid w:val="002E7AE6"/>
    <w:rsid w:val="002F1B87"/>
    <w:rsid w:val="002F376D"/>
    <w:rsid w:val="002F5FAF"/>
    <w:rsid w:val="002F7A4A"/>
    <w:rsid w:val="003005E6"/>
    <w:rsid w:val="00305999"/>
    <w:rsid w:val="00306401"/>
    <w:rsid w:val="003107A0"/>
    <w:rsid w:val="00317670"/>
    <w:rsid w:val="00320C20"/>
    <w:rsid w:val="00321769"/>
    <w:rsid w:val="00322D74"/>
    <w:rsid w:val="00340465"/>
    <w:rsid w:val="0035002B"/>
    <w:rsid w:val="003564A3"/>
    <w:rsid w:val="0036005B"/>
    <w:rsid w:val="0036449F"/>
    <w:rsid w:val="003645A4"/>
    <w:rsid w:val="00366244"/>
    <w:rsid w:val="0036671C"/>
    <w:rsid w:val="003679BA"/>
    <w:rsid w:val="00374859"/>
    <w:rsid w:val="003760BD"/>
    <w:rsid w:val="003767D7"/>
    <w:rsid w:val="00377696"/>
    <w:rsid w:val="00377849"/>
    <w:rsid w:val="00380ED4"/>
    <w:rsid w:val="00381847"/>
    <w:rsid w:val="00381EEE"/>
    <w:rsid w:val="0038225D"/>
    <w:rsid w:val="0038493D"/>
    <w:rsid w:val="00384F51"/>
    <w:rsid w:val="00397E50"/>
    <w:rsid w:val="003A04E7"/>
    <w:rsid w:val="003A29FE"/>
    <w:rsid w:val="003A3DA5"/>
    <w:rsid w:val="003A6C97"/>
    <w:rsid w:val="003B238C"/>
    <w:rsid w:val="003B23D1"/>
    <w:rsid w:val="003B252C"/>
    <w:rsid w:val="003B276A"/>
    <w:rsid w:val="003B57EE"/>
    <w:rsid w:val="003C055C"/>
    <w:rsid w:val="003C7DD3"/>
    <w:rsid w:val="003D1B56"/>
    <w:rsid w:val="003D3E78"/>
    <w:rsid w:val="003D5E0D"/>
    <w:rsid w:val="003E0CCD"/>
    <w:rsid w:val="003E1694"/>
    <w:rsid w:val="003E1DFE"/>
    <w:rsid w:val="003E237F"/>
    <w:rsid w:val="003E3849"/>
    <w:rsid w:val="003E5D6E"/>
    <w:rsid w:val="003E5D7F"/>
    <w:rsid w:val="003F1BCE"/>
    <w:rsid w:val="003F20AC"/>
    <w:rsid w:val="004050D5"/>
    <w:rsid w:val="00407008"/>
    <w:rsid w:val="00411E01"/>
    <w:rsid w:val="00412C78"/>
    <w:rsid w:val="00414E7C"/>
    <w:rsid w:val="00415C0F"/>
    <w:rsid w:val="004212BB"/>
    <w:rsid w:val="00423B80"/>
    <w:rsid w:val="00424EEA"/>
    <w:rsid w:val="004273B7"/>
    <w:rsid w:val="0043442B"/>
    <w:rsid w:val="00435F26"/>
    <w:rsid w:val="00436084"/>
    <w:rsid w:val="004550AD"/>
    <w:rsid w:val="00456FF0"/>
    <w:rsid w:val="00460D7D"/>
    <w:rsid w:val="00463B71"/>
    <w:rsid w:val="00465D61"/>
    <w:rsid w:val="00466237"/>
    <w:rsid w:val="00466ABC"/>
    <w:rsid w:val="0047079E"/>
    <w:rsid w:val="004741F4"/>
    <w:rsid w:val="00475A28"/>
    <w:rsid w:val="00476526"/>
    <w:rsid w:val="004774B9"/>
    <w:rsid w:val="00480C54"/>
    <w:rsid w:val="00481771"/>
    <w:rsid w:val="004848E8"/>
    <w:rsid w:val="00484A79"/>
    <w:rsid w:val="00484FA8"/>
    <w:rsid w:val="004866AD"/>
    <w:rsid w:val="00486A2C"/>
    <w:rsid w:val="004877F4"/>
    <w:rsid w:val="004907BA"/>
    <w:rsid w:val="00490FC6"/>
    <w:rsid w:val="00495890"/>
    <w:rsid w:val="004A0C86"/>
    <w:rsid w:val="004A214F"/>
    <w:rsid w:val="004B1093"/>
    <w:rsid w:val="004B7137"/>
    <w:rsid w:val="004B7483"/>
    <w:rsid w:val="004C4528"/>
    <w:rsid w:val="004C7CA1"/>
    <w:rsid w:val="004C7F09"/>
    <w:rsid w:val="004D0F48"/>
    <w:rsid w:val="004D0F7F"/>
    <w:rsid w:val="004D46E4"/>
    <w:rsid w:val="004D6877"/>
    <w:rsid w:val="004E1400"/>
    <w:rsid w:val="004E52B7"/>
    <w:rsid w:val="004E6255"/>
    <w:rsid w:val="004F012C"/>
    <w:rsid w:val="004F2B8F"/>
    <w:rsid w:val="004F79F2"/>
    <w:rsid w:val="005002F0"/>
    <w:rsid w:val="005011FC"/>
    <w:rsid w:val="0051109E"/>
    <w:rsid w:val="00513338"/>
    <w:rsid w:val="0051668A"/>
    <w:rsid w:val="00521D9F"/>
    <w:rsid w:val="00523422"/>
    <w:rsid w:val="005237C1"/>
    <w:rsid w:val="00523961"/>
    <w:rsid w:val="0053764C"/>
    <w:rsid w:val="00542979"/>
    <w:rsid w:val="00547E6A"/>
    <w:rsid w:val="005513FC"/>
    <w:rsid w:val="00552E7C"/>
    <w:rsid w:val="005540E2"/>
    <w:rsid w:val="0055794D"/>
    <w:rsid w:val="00567B58"/>
    <w:rsid w:val="00573E4C"/>
    <w:rsid w:val="00574489"/>
    <w:rsid w:val="00577EEE"/>
    <w:rsid w:val="00580910"/>
    <w:rsid w:val="005815A0"/>
    <w:rsid w:val="00581A0A"/>
    <w:rsid w:val="00581AC6"/>
    <w:rsid w:val="00583C0E"/>
    <w:rsid w:val="00585167"/>
    <w:rsid w:val="005936A5"/>
    <w:rsid w:val="005936EC"/>
    <w:rsid w:val="00595C96"/>
    <w:rsid w:val="005970E4"/>
    <w:rsid w:val="005A1400"/>
    <w:rsid w:val="005A3AF4"/>
    <w:rsid w:val="005A4358"/>
    <w:rsid w:val="005A45EF"/>
    <w:rsid w:val="005A67FF"/>
    <w:rsid w:val="005B04A1"/>
    <w:rsid w:val="005B0B1E"/>
    <w:rsid w:val="005B20C9"/>
    <w:rsid w:val="005B2544"/>
    <w:rsid w:val="005B7357"/>
    <w:rsid w:val="005C2BAD"/>
    <w:rsid w:val="005C43E7"/>
    <w:rsid w:val="005C67FE"/>
    <w:rsid w:val="005C7092"/>
    <w:rsid w:val="005D2855"/>
    <w:rsid w:val="005D5F6D"/>
    <w:rsid w:val="005E2C7A"/>
    <w:rsid w:val="005E3B20"/>
    <w:rsid w:val="005F43C1"/>
    <w:rsid w:val="005F4E2B"/>
    <w:rsid w:val="005F6C4D"/>
    <w:rsid w:val="00601121"/>
    <w:rsid w:val="006012BD"/>
    <w:rsid w:val="0060356E"/>
    <w:rsid w:val="00604C4E"/>
    <w:rsid w:val="00605586"/>
    <w:rsid w:val="0060670D"/>
    <w:rsid w:val="006102A2"/>
    <w:rsid w:val="00610FBA"/>
    <w:rsid w:val="006258AB"/>
    <w:rsid w:val="00625B6D"/>
    <w:rsid w:val="00631C6F"/>
    <w:rsid w:val="00633335"/>
    <w:rsid w:val="0063471A"/>
    <w:rsid w:val="00640184"/>
    <w:rsid w:val="00640BEE"/>
    <w:rsid w:val="00640C88"/>
    <w:rsid w:val="00644978"/>
    <w:rsid w:val="0064641B"/>
    <w:rsid w:val="006503C8"/>
    <w:rsid w:val="00654205"/>
    <w:rsid w:val="00654E1C"/>
    <w:rsid w:val="00656617"/>
    <w:rsid w:val="00660EC6"/>
    <w:rsid w:val="00667886"/>
    <w:rsid w:val="006703ED"/>
    <w:rsid w:val="00671152"/>
    <w:rsid w:val="0068301F"/>
    <w:rsid w:val="0068477D"/>
    <w:rsid w:val="00684977"/>
    <w:rsid w:val="00690A80"/>
    <w:rsid w:val="00694313"/>
    <w:rsid w:val="006A092F"/>
    <w:rsid w:val="006A1252"/>
    <w:rsid w:val="006A1663"/>
    <w:rsid w:val="006A5AF1"/>
    <w:rsid w:val="006A6E08"/>
    <w:rsid w:val="006B3147"/>
    <w:rsid w:val="006B3533"/>
    <w:rsid w:val="006B391F"/>
    <w:rsid w:val="006B5676"/>
    <w:rsid w:val="006B5CF3"/>
    <w:rsid w:val="006B7C0C"/>
    <w:rsid w:val="006C0694"/>
    <w:rsid w:val="006C1B41"/>
    <w:rsid w:val="006C543A"/>
    <w:rsid w:val="006C75F0"/>
    <w:rsid w:val="006E079D"/>
    <w:rsid w:val="006E290E"/>
    <w:rsid w:val="006E5937"/>
    <w:rsid w:val="006E781F"/>
    <w:rsid w:val="006F1D3A"/>
    <w:rsid w:val="006F2B8E"/>
    <w:rsid w:val="006F3AA8"/>
    <w:rsid w:val="006F416D"/>
    <w:rsid w:val="006F59BC"/>
    <w:rsid w:val="006F7C16"/>
    <w:rsid w:val="007002F5"/>
    <w:rsid w:val="0070067D"/>
    <w:rsid w:val="00702463"/>
    <w:rsid w:val="0071162F"/>
    <w:rsid w:val="00712072"/>
    <w:rsid w:val="00712AE1"/>
    <w:rsid w:val="00712E65"/>
    <w:rsid w:val="0071463C"/>
    <w:rsid w:val="00714664"/>
    <w:rsid w:val="0071539D"/>
    <w:rsid w:val="0071584B"/>
    <w:rsid w:val="007174C0"/>
    <w:rsid w:val="00717D89"/>
    <w:rsid w:val="00720E25"/>
    <w:rsid w:val="007211E6"/>
    <w:rsid w:val="00727AAB"/>
    <w:rsid w:val="007334AD"/>
    <w:rsid w:val="00735A6A"/>
    <w:rsid w:val="00735D3A"/>
    <w:rsid w:val="0073629A"/>
    <w:rsid w:val="00737B21"/>
    <w:rsid w:val="00740EB7"/>
    <w:rsid w:val="00742C8C"/>
    <w:rsid w:val="007447AA"/>
    <w:rsid w:val="00746541"/>
    <w:rsid w:val="00754418"/>
    <w:rsid w:val="007570DA"/>
    <w:rsid w:val="00766663"/>
    <w:rsid w:val="007667F4"/>
    <w:rsid w:val="00770E88"/>
    <w:rsid w:val="00773FED"/>
    <w:rsid w:val="00775798"/>
    <w:rsid w:val="007774BA"/>
    <w:rsid w:val="00781D36"/>
    <w:rsid w:val="007821C6"/>
    <w:rsid w:val="00783075"/>
    <w:rsid w:val="00785BD8"/>
    <w:rsid w:val="00787BE3"/>
    <w:rsid w:val="00790EA1"/>
    <w:rsid w:val="00792601"/>
    <w:rsid w:val="0079453F"/>
    <w:rsid w:val="00795BB7"/>
    <w:rsid w:val="00797A44"/>
    <w:rsid w:val="0079C103"/>
    <w:rsid w:val="007A04D9"/>
    <w:rsid w:val="007A0EAA"/>
    <w:rsid w:val="007A5EA9"/>
    <w:rsid w:val="007A6DF6"/>
    <w:rsid w:val="007B0B03"/>
    <w:rsid w:val="007B3ED2"/>
    <w:rsid w:val="007B653A"/>
    <w:rsid w:val="007B6C8B"/>
    <w:rsid w:val="007C1DBB"/>
    <w:rsid w:val="007C3B51"/>
    <w:rsid w:val="007C6788"/>
    <w:rsid w:val="007D4412"/>
    <w:rsid w:val="007D7647"/>
    <w:rsid w:val="007F06C6"/>
    <w:rsid w:val="007F4550"/>
    <w:rsid w:val="007F468D"/>
    <w:rsid w:val="007F5B86"/>
    <w:rsid w:val="00802969"/>
    <w:rsid w:val="008036D1"/>
    <w:rsid w:val="00803EB2"/>
    <w:rsid w:val="00807679"/>
    <w:rsid w:val="008077ED"/>
    <w:rsid w:val="008118A6"/>
    <w:rsid w:val="00812272"/>
    <w:rsid w:val="00820CD5"/>
    <w:rsid w:val="00820EF7"/>
    <w:rsid w:val="008210F1"/>
    <w:rsid w:val="00823E90"/>
    <w:rsid w:val="00824738"/>
    <w:rsid w:val="00824A84"/>
    <w:rsid w:val="008252B2"/>
    <w:rsid w:val="008260E6"/>
    <w:rsid w:val="00827356"/>
    <w:rsid w:val="008316B2"/>
    <w:rsid w:val="00832513"/>
    <w:rsid w:val="008339F9"/>
    <w:rsid w:val="00833A65"/>
    <w:rsid w:val="00835FA4"/>
    <w:rsid w:val="0083624C"/>
    <w:rsid w:val="0083675C"/>
    <w:rsid w:val="00837C4E"/>
    <w:rsid w:val="0084156C"/>
    <w:rsid w:val="0084175F"/>
    <w:rsid w:val="008435B7"/>
    <w:rsid w:val="00844668"/>
    <w:rsid w:val="008463DB"/>
    <w:rsid w:val="00851125"/>
    <w:rsid w:val="00851DFC"/>
    <w:rsid w:val="008521A2"/>
    <w:rsid w:val="0085444E"/>
    <w:rsid w:val="0085570C"/>
    <w:rsid w:val="00855AD1"/>
    <w:rsid w:val="0085622D"/>
    <w:rsid w:val="00856321"/>
    <w:rsid w:val="008575AC"/>
    <w:rsid w:val="008578D2"/>
    <w:rsid w:val="008632A4"/>
    <w:rsid w:val="00863DB8"/>
    <w:rsid w:val="00864968"/>
    <w:rsid w:val="00866845"/>
    <w:rsid w:val="00866EBA"/>
    <w:rsid w:val="00867FE9"/>
    <w:rsid w:val="008725ED"/>
    <w:rsid w:val="008769C2"/>
    <w:rsid w:val="00883ADE"/>
    <w:rsid w:val="00891621"/>
    <w:rsid w:val="00893CF1"/>
    <w:rsid w:val="008956BF"/>
    <w:rsid w:val="00896196"/>
    <w:rsid w:val="0089657F"/>
    <w:rsid w:val="008A0324"/>
    <w:rsid w:val="008A4C86"/>
    <w:rsid w:val="008A6C2D"/>
    <w:rsid w:val="008B182D"/>
    <w:rsid w:val="008B1DFA"/>
    <w:rsid w:val="008B3101"/>
    <w:rsid w:val="008B4737"/>
    <w:rsid w:val="008B489C"/>
    <w:rsid w:val="008B76D7"/>
    <w:rsid w:val="008C420F"/>
    <w:rsid w:val="008C48CC"/>
    <w:rsid w:val="008C663E"/>
    <w:rsid w:val="008C699C"/>
    <w:rsid w:val="008D0AB6"/>
    <w:rsid w:val="008D3FFC"/>
    <w:rsid w:val="008D6D4E"/>
    <w:rsid w:val="008D6DA3"/>
    <w:rsid w:val="008D79DA"/>
    <w:rsid w:val="008E1465"/>
    <w:rsid w:val="008E2323"/>
    <w:rsid w:val="008E3EA0"/>
    <w:rsid w:val="008E4261"/>
    <w:rsid w:val="008E5C9F"/>
    <w:rsid w:val="008F1B78"/>
    <w:rsid w:val="008F1F0D"/>
    <w:rsid w:val="008F2CC7"/>
    <w:rsid w:val="008F4BB2"/>
    <w:rsid w:val="008F7DD5"/>
    <w:rsid w:val="009006D4"/>
    <w:rsid w:val="00900CC8"/>
    <w:rsid w:val="0090669C"/>
    <w:rsid w:val="0090701A"/>
    <w:rsid w:val="0090746C"/>
    <w:rsid w:val="0091014A"/>
    <w:rsid w:val="0091046E"/>
    <w:rsid w:val="00912EE6"/>
    <w:rsid w:val="009136E9"/>
    <w:rsid w:val="00913811"/>
    <w:rsid w:val="00915BE7"/>
    <w:rsid w:val="00917F43"/>
    <w:rsid w:val="009209B3"/>
    <w:rsid w:val="00921936"/>
    <w:rsid w:val="00921DD5"/>
    <w:rsid w:val="00922C39"/>
    <w:rsid w:val="00925195"/>
    <w:rsid w:val="00925302"/>
    <w:rsid w:val="00927006"/>
    <w:rsid w:val="00927FD6"/>
    <w:rsid w:val="00934AF7"/>
    <w:rsid w:val="00935C1E"/>
    <w:rsid w:val="00940CC0"/>
    <w:rsid w:val="00942094"/>
    <w:rsid w:val="0094731B"/>
    <w:rsid w:val="00951667"/>
    <w:rsid w:val="009520BB"/>
    <w:rsid w:val="009563F0"/>
    <w:rsid w:val="00957E06"/>
    <w:rsid w:val="0096059C"/>
    <w:rsid w:val="0096146E"/>
    <w:rsid w:val="0096749E"/>
    <w:rsid w:val="009675DB"/>
    <w:rsid w:val="00971997"/>
    <w:rsid w:val="009726B3"/>
    <w:rsid w:val="00973540"/>
    <w:rsid w:val="00977B51"/>
    <w:rsid w:val="00977E0B"/>
    <w:rsid w:val="00982BCC"/>
    <w:rsid w:val="00985B26"/>
    <w:rsid w:val="009868A4"/>
    <w:rsid w:val="00987F80"/>
    <w:rsid w:val="00991460"/>
    <w:rsid w:val="0099159B"/>
    <w:rsid w:val="00991EB0"/>
    <w:rsid w:val="009923CB"/>
    <w:rsid w:val="009936BC"/>
    <w:rsid w:val="00994C05"/>
    <w:rsid w:val="009A6856"/>
    <w:rsid w:val="009A6D6E"/>
    <w:rsid w:val="009B0AC0"/>
    <w:rsid w:val="009B2515"/>
    <w:rsid w:val="009B3341"/>
    <w:rsid w:val="009B381A"/>
    <w:rsid w:val="009B404E"/>
    <w:rsid w:val="009B4EE8"/>
    <w:rsid w:val="009B5298"/>
    <w:rsid w:val="009B6497"/>
    <w:rsid w:val="009B7112"/>
    <w:rsid w:val="009B73B2"/>
    <w:rsid w:val="009C17AA"/>
    <w:rsid w:val="009C33BB"/>
    <w:rsid w:val="009C3731"/>
    <w:rsid w:val="009C582A"/>
    <w:rsid w:val="009D3A0E"/>
    <w:rsid w:val="009D54F7"/>
    <w:rsid w:val="009D6416"/>
    <w:rsid w:val="009D782F"/>
    <w:rsid w:val="009E0698"/>
    <w:rsid w:val="009E1077"/>
    <w:rsid w:val="009E19C6"/>
    <w:rsid w:val="009E6510"/>
    <w:rsid w:val="009F0F6B"/>
    <w:rsid w:val="009F5562"/>
    <w:rsid w:val="009F707C"/>
    <w:rsid w:val="00A029AC"/>
    <w:rsid w:val="00A12266"/>
    <w:rsid w:val="00A25E47"/>
    <w:rsid w:val="00A261DC"/>
    <w:rsid w:val="00A306EA"/>
    <w:rsid w:val="00A33F55"/>
    <w:rsid w:val="00A37C88"/>
    <w:rsid w:val="00A43A46"/>
    <w:rsid w:val="00A44B03"/>
    <w:rsid w:val="00A4653C"/>
    <w:rsid w:val="00A50FE6"/>
    <w:rsid w:val="00A52262"/>
    <w:rsid w:val="00A62304"/>
    <w:rsid w:val="00A63137"/>
    <w:rsid w:val="00A64445"/>
    <w:rsid w:val="00A64D2E"/>
    <w:rsid w:val="00A67621"/>
    <w:rsid w:val="00A72767"/>
    <w:rsid w:val="00A72809"/>
    <w:rsid w:val="00A728B2"/>
    <w:rsid w:val="00A8233C"/>
    <w:rsid w:val="00A85C83"/>
    <w:rsid w:val="00A9722E"/>
    <w:rsid w:val="00AA343D"/>
    <w:rsid w:val="00AA43B5"/>
    <w:rsid w:val="00AA4991"/>
    <w:rsid w:val="00AA73E8"/>
    <w:rsid w:val="00AB0DC6"/>
    <w:rsid w:val="00AB0F6F"/>
    <w:rsid w:val="00AB2B90"/>
    <w:rsid w:val="00AB2DBF"/>
    <w:rsid w:val="00AB4F6D"/>
    <w:rsid w:val="00AB5CB4"/>
    <w:rsid w:val="00AB6075"/>
    <w:rsid w:val="00AB7BAC"/>
    <w:rsid w:val="00AC2DF0"/>
    <w:rsid w:val="00AC7B69"/>
    <w:rsid w:val="00AD517A"/>
    <w:rsid w:val="00AD5B7E"/>
    <w:rsid w:val="00AD693D"/>
    <w:rsid w:val="00AD74C8"/>
    <w:rsid w:val="00AE2858"/>
    <w:rsid w:val="00AE29FF"/>
    <w:rsid w:val="00AF0451"/>
    <w:rsid w:val="00AF1D50"/>
    <w:rsid w:val="00AF4940"/>
    <w:rsid w:val="00AF5C3A"/>
    <w:rsid w:val="00AF6047"/>
    <w:rsid w:val="00B039D2"/>
    <w:rsid w:val="00B04560"/>
    <w:rsid w:val="00B05318"/>
    <w:rsid w:val="00B07FD3"/>
    <w:rsid w:val="00B13DE2"/>
    <w:rsid w:val="00B164B1"/>
    <w:rsid w:val="00B17704"/>
    <w:rsid w:val="00B20780"/>
    <w:rsid w:val="00B20DE5"/>
    <w:rsid w:val="00B21DC7"/>
    <w:rsid w:val="00B22509"/>
    <w:rsid w:val="00B33F2B"/>
    <w:rsid w:val="00B33FD7"/>
    <w:rsid w:val="00B417EB"/>
    <w:rsid w:val="00B45A49"/>
    <w:rsid w:val="00B50EAE"/>
    <w:rsid w:val="00B53C86"/>
    <w:rsid w:val="00B61EF6"/>
    <w:rsid w:val="00B63477"/>
    <w:rsid w:val="00B63FD5"/>
    <w:rsid w:val="00B6592C"/>
    <w:rsid w:val="00B73C1A"/>
    <w:rsid w:val="00B75A21"/>
    <w:rsid w:val="00B75B47"/>
    <w:rsid w:val="00B76FF0"/>
    <w:rsid w:val="00B7720B"/>
    <w:rsid w:val="00B80922"/>
    <w:rsid w:val="00B81EB8"/>
    <w:rsid w:val="00B849C0"/>
    <w:rsid w:val="00B904E4"/>
    <w:rsid w:val="00B93FC7"/>
    <w:rsid w:val="00B9487E"/>
    <w:rsid w:val="00BA0D1B"/>
    <w:rsid w:val="00BB0BFA"/>
    <w:rsid w:val="00BB3319"/>
    <w:rsid w:val="00BB46DE"/>
    <w:rsid w:val="00BB4CBA"/>
    <w:rsid w:val="00BB7DEE"/>
    <w:rsid w:val="00BC00B6"/>
    <w:rsid w:val="00BC1FB4"/>
    <w:rsid w:val="00BC341C"/>
    <w:rsid w:val="00BC4964"/>
    <w:rsid w:val="00BC664E"/>
    <w:rsid w:val="00BD0DBD"/>
    <w:rsid w:val="00BD5565"/>
    <w:rsid w:val="00BD6071"/>
    <w:rsid w:val="00BD7D66"/>
    <w:rsid w:val="00BE2144"/>
    <w:rsid w:val="00BE3110"/>
    <w:rsid w:val="00BF578E"/>
    <w:rsid w:val="00BF6153"/>
    <w:rsid w:val="00BF61A3"/>
    <w:rsid w:val="00BF6C92"/>
    <w:rsid w:val="00BF6D4B"/>
    <w:rsid w:val="00C00401"/>
    <w:rsid w:val="00C0609F"/>
    <w:rsid w:val="00C10D7B"/>
    <w:rsid w:val="00C164FC"/>
    <w:rsid w:val="00C27883"/>
    <w:rsid w:val="00C30D12"/>
    <w:rsid w:val="00C30F83"/>
    <w:rsid w:val="00C339D4"/>
    <w:rsid w:val="00C3652F"/>
    <w:rsid w:val="00C37F48"/>
    <w:rsid w:val="00C4358C"/>
    <w:rsid w:val="00C43B7E"/>
    <w:rsid w:val="00C4591A"/>
    <w:rsid w:val="00C4650D"/>
    <w:rsid w:val="00C4781E"/>
    <w:rsid w:val="00C5060F"/>
    <w:rsid w:val="00C51B36"/>
    <w:rsid w:val="00C52D76"/>
    <w:rsid w:val="00C53675"/>
    <w:rsid w:val="00C576E3"/>
    <w:rsid w:val="00C5781C"/>
    <w:rsid w:val="00C57CFD"/>
    <w:rsid w:val="00C60890"/>
    <w:rsid w:val="00C6449E"/>
    <w:rsid w:val="00C6607A"/>
    <w:rsid w:val="00C6772C"/>
    <w:rsid w:val="00C707E6"/>
    <w:rsid w:val="00C70881"/>
    <w:rsid w:val="00C71B1C"/>
    <w:rsid w:val="00C71CA2"/>
    <w:rsid w:val="00C74E4A"/>
    <w:rsid w:val="00C779A7"/>
    <w:rsid w:val="00C77C49"/>
    <w:rsid w:val="00C82F07"/>
    <w:rsid w:val="00C872FA"/>
    <w:rsid w:val="00C93FFF"/>
    <w:rsid w:val="00C97907"/>
    <w:rsid w:val="00CA1E28"/>
    <w:rsid w:val="00CA2DF4"/>
    <w:rsid w:val="00CA3B59"/>
    <w:rsid w:val="00CA679E"/>
    <w:rsid w:val="00CB1CEE"/>
    <w:rsid w:val="00CC1AC9"/>
    <w:rsid w:val="00CC1DBA"/>
    <w:rsid w:val="00CC3AAF"/>
    <w:rsid w:val="00CC4E6E"/>
    <w:rsid w:val="00CD1E58"/>
    <w:rsid w:val="00CD7CB4"/>
    <w:rsid w:val="00CE0A94"/>
    <w:rsid w:val="00CE36A6"/>
    <w:rsid w:val="00CE36CE"/>
    <w:rsid w:val="00CE5399"/>
    <w:rsid w:val="00CF09EA"/>
    <w:rsid w:val="00CF3D71"/>
    <w:rsid w:val="00CF42BE"/>
    <w:rsid w:val="00CF734E"/>
    <w:rsid w:val="00D02F2A"/>
    <w:rsid w:val="00D032D0"/>
    <w:rsid w:val="00D0331D"/>
    <w:rsid w:val="00D034BB"/>
    <w:rsid w:val="00D06EAC"/>
    <w:rsid w:val="00D07D7E"/>
    <w:rsid w:val="00D10C8C"/>
    <w:rsid w:val="00D20C22"/>
    <w:rsid w:val="00D20E0C"/>
    <w:rsid w:val="00D24AB4"/>
    <w:rsid w:val="00D250C7"/>
    <w:rsid w:val="00D35FAC"/>
    <w:rsid w:val="00D40EBB"/>
    <w:rsid w:val="00D51447"/>
    <w:rsid w:val="00D51E5E"/>
    <w:rsid w:val="00D525EB"/>
    <w:rsid w:val="00D6706A"/>
    <w:rsid w:val="00D715A3"/>
    <w:rsid w:val="00D742B6"/>
    <w:rsid w:val="00D742F3"/>
    <w:rsid w:val="00D76BFE"/>
    <w:rsid w:val="00D773A8"/>
    <w:rsid w:val="00D812D1"/>
    <w:rsid w:val="00D83AF6"/>
    <w:rsid w:val="00D86F63"/>
    <w:rsid w:val="00D87439"/>
    <w:rsid w:val="00D9233E"/>
    <w:rsid w:val="00D97BFE"/>
    <w:rsid w:val="00DA14FF"/>
    <w:rsid w:val="00DA527F"/>
    <w:rsid w:val="00DA6606"/>
    <w:rsid w:val="00DA6895"/>
    <w:rsid w:val="00DB3035"/>
    <w:rsid w:val="00DB6977"/>
    <w:rsid w:val="00DC040C"/>
    <w:rsid w:val="00DC4B08"/>
    <w:rsid w:val="00DC52DB"/>
    <w:rsid w:val="00DC783B"/>
    <w:rsid w:val="00DC7B84"/>
    <w:rsid w:val="00DC7E58"/>
    <w:rsid w:val="00DD14F7"/>
    <w:rsid w:val="00DE0C93"/>
    <w:rsid w:val="00DE1159"/>
    <w:rsid w:val="00DE1AEF"/>
    <w:rsid w:val="00DE1D9E"/>
    <w:rsid w:val="00DF0E49"/>
    <w:rsid w:val="00DF2E9C"/>
    <w:rsid w:val="00DF5859"/>
    <w:rsid w:val="00DF683D"/>
    <w:rsid w:val="00E014F8"/>
    <w:rsid w:val="00E04DD7"/>
    <w:rsid w:val="00E0568D"/>
    <w:rsid w:val="00E0781B"/>
    <w:rsid w:val="00E07AB6"/>
    <w:rsid w:val="00E1263A"/>
    <w:rsid w:val="00E15815"/>
    <w:rsid w:val="00E20EB9"/>
    <w:rsid w:val="00E21E20"/>
    <w:rsid w:val="00E24119"/>
    <w:rsid w:val="00E25385"/>
    <w:rsid w:val="00E25CF0"/>
    <w:rsid w:val="00E30730"/>
    <w:rsid w:val="00E31F73"/>
    <w:rsid w:val="00E34B13"/>
    <w:rsid w:val="00E36E03"/>
    <w:rsid w:val="00E37F04"/>
    <w:rsid w:val="00E4081A"/>
    <w:rsid w:val="00E42C22"/>
    <w:rsid w:val="00E43D1A"/>
    <w:rsid w:val="00E47ADA"/>
    <w:rsid w:val="00E50585"/>
    <w:rsid w:val="00E51BD1"/>
    <w:rsid w:val="00E51E8C"/>
    <w:rsid w:val="00E537B6"/>
    <w:rsid w:val="00E5436A"/>
    <w:rsid w:val="00E57FF2"/>
    <w:rsid w:val="00E600EF"/>
    <w:rsid w:val="00E61FC5"/>
    <w:rsid w:val="00E644DC"/>
    <w:rsid w:val="00E733EF"/>
    <w:rsid w:val="00E74794"/>
    <w:rsid w:val="00E75A42"/>
    <w:rsid w:val="00E75A8D"/>
    <w:rsid w:val="00E766C4"/>
    <w:rsid w:val="00E77D9C"/>
    <w:rsid w:val="00E82407"/>
    <w:rsid w:val="00E90531"/>
    <w:rsid w:val="00E909D0"/>
    <w:rsid w:val="00E97AF7"/>
    <w:rsid w:val="00EA2FFD"/>
    <w:rsid w:val="00EA3881"/>
    <w:rsid w:val="00EA4C0C"/>
    <w:rsid w:val="00EA73DF"/>
    <w:rsid w:val="00EB001C"/>
    <w:rsid w:val="00EB106F"/>
    <w:rsid w:val="00EB4878"/>
    <w:rsid w:val="00EC1799"/>
    <w:rsid w:val="00EC3B34"/>
    <w:rsid w:val="00EC71EC"/>
    <w:rsid w:val="00ED2649"/>
    <w:rsid w:val="00ED3218"/>
    <w:rsid w:val="00ED3560"/>
    <w:rsid w:val="00EE4FC4"/>
    <w:rsid w:val="00EE60A2"/>
    <w:rsid w:val="00EF2587"/>
    <w:rsid w:val="00EF569D"/>
    <w:rsid w:val="00F0158F"/>
    <w:rsid w:val="00F01CF8"/>
    <w:rsid w:val="00F028B1"/>
    <w:rsid w:val="00F12508"/>
    <w:rsid w:val="00F1311E"/>
    <w:rsid w:val="00F13F91"/>
    <w:rsid w:val="00F17089"/>
    <w:rsid w:val="00F17816"/>
    <w:rsid w:val="00F22B65"/>
    <w:rsid w:val="00F23477"/>
    <w:rsid w:val="00F2379E"/>
    <w:rsid w:val="00F2451C"/>
    <w:rsid w:val="00F26543"/>
    <w:rsid w:val="00F32CCA"/>
    <w:rsid w:val="00F33647"/>
    <w:rsid w:val="00F3591D"/>
    <w:rsid w:val="00F4017A"/>
    <w:rsid w:val="00F40373"/>
    <w:rsid w:val="00F40FE4"/>
    <w:rsid w:val="00F433F5"/>
    <w:rsid w:val="00F43C57"/>
    <w:rsid w:val="00F44CAB"/>
    <w:rsid w:val="00F45BF1"/>
    <w:rsid w:val="00F45DD1"/>
    <w:rsid w:val="00F47D7B"/>
    <w:rsid w:val="00F50622"/>
    <w:rsid w:val="00F5087F"/>
    <w:rsid w:val="00F52FD3"/>
    <w:rsid w:val="00F53BE6"/>
    <w:rsid w:val="00F53CB5"/>
    <w:rsid w:val="00F545C4"/>
    <w:rsid w:val="00F60944"/>
    <w:rsid w:val="00F60A3D"/>
    <w:rsid w:val="00F643F8"/>
    <w:rsid w:val="00F67211"/>
    <w:rsid w:val="00F672DC"/>
    <w:rsid w:val="00F70848"/>
    <w:rsid w:val="00F72A42"/>
    <w:rsid w:val="00F72AE4"/>
    <w:rsid w:val="00F74476"/>
    <w:rsid w:val="00F74EC2"/>
    <w:rsid w:val="00F76739"/>
    <w:rsid w:val="00F77F3A"/>
    <w:rsid w:val="00F83354"/>
    <w:rsid w:val="00F91AA2"/>
    <w:rsid w:val="00FA047D"/>
    <w:rsid w:val="00FA0E9D"/>
    <w:rsid w:val="00FA52F9"/>
    <w:rsid w:val="00FA6D56"/>
    <w:rsid w:val="00FB2B67"/>
    <w:rsid w:val="00FB37D8"/>
    <w:rsid w:val="00FB73C2"/>
    <w:rsid w:val="00FC1604"/>
    <w:rsid w:val="00FC23AF"/>
    <w:rsid w:val="00FC31E2"/>
    <w:rsid w:val="00FC4289"/>
    <w:rsid w:val="00FC5CF0"/>
    <w:rsid w:val="00FD1005"/>
    <w:rsid w:val="00FD22E2"/>
    <w:rsid w:val="00FD3481"/>
    <w:rsid w:val="00FD7009"/>
    <w:rsid w:val="00FE09F8"/>
    <w:rsid w:val="00FE2393"/>
    <w:rsid w:val="00FE71B5"/>
    <w:rsid w:val="00FF299D"/>
    <w:rsid w:val="00FF575E"/>
    <w:rsid w:val="00FF60A7"/>
    <w:rsid w:val="00FF6FF0"/>
    <w:rsid w:val="00FF7D2E"/>
    <w:rsid w:val="011533B8"/>
    <w:rsid w:val="0292A6C4"/>
    <w:rsid w:val="029DC66C"/>
    <w:rsid w:val="041D961F"/>
    <w:rsid w:val="042E7725"/>
    <w:rsid w:val="19FDC650"/>
    <w:rsid w:val="22632DE7"/>
    <w:rsid w:val="28E7E31B"/>
    <w:rsid w:val="2EE4291B"/>
    <w:rsid w:val="3EEE3085"/>
    <w:rsid w:val="4323EA48"/>
    <w:rsid w:val="4ACD1488"/>
    <w:rsid w:val="4DD12B92"/>
    <w:rsid w:val="5B5408C7"/>
    <w:rsid w:val="68D1F57C"/>
    <w:rsid w:val="6F388BE0"/>
    <w:rsid w:val="74F34B79"/>
    <w:rsid w:val="75A3F786"/>
    <w:rsid w:val="79D34523"/>
    <w:rsid w:val="7E79165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ECB7AD"/>
  <w15:chartTrackingRefBased/>
  <w15:docId w15:val="{DCD5DF3D-EA73-4310-B694-56C96E98D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BC00B6"/>
    <w:pPr>
      <w:jc w:val="both"/>
    </w:pPr>
    <w:rPr>
      <w:rFonts w:ascii="Open Sans" w:hAnsi="Open Sans"/>
    </w:rPr>
  </w:style>
  <w:style w:type="paragraph" w:styleId="Nadpis1">
    <w:name w:val="heading 1"/>
    <w:basedOn w:val="Normln"/>
    <w:next w:val="Normln"/>
    <w:link w:val="Nadpis1Char"/>
    <w:uiPriority w:val="9"/>
    <w:qFormat/>
    <w:rsid w:val="00C00401"/>
    <w:pPr>
      <w:outlineLvl w:val="0"/>
    </w:pPr>
    <w:rPr>
      <w:b/>
      <w:bCs/>
      <w:sz w:val="32"/>
      <w:szCs w:val="32"/>
    </w:rPr>
  </w:style>
  <w:style w:type="paragraph" w:styleId="Nadpis2">
    <w:name w:val="heading 2"/>
    <w:basedOn w:val="Normln"/>
    <w:next w:val="Normln"/>
    <w:link w:val="Nadpis2Char"/>
    <w:uiPriority w:val="9"/>
    <w:semiHidden/>
    <w:unhideWhenUsed/>
    <w:qFormat/>
    <w:rsid w:val="0070067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dpis3">
    <w:name w:val="heading 3"/>
    <w:basedOn w:val="Normln"/>
    <w:next w:val="Normln"/>
    <w:link w:val="Nadpis3Char"/>
    <w:uiPriority w:val="9"/>
    <w:semiHidden/>
    <w:unhideWhenUsed/>
    <w:qFormat/>
    <w:rsid w:val="004D46E4"/>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9B404E"/>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9B404E"/>
  </w:style>
  <w:style w:type="paragraph" w:styleId="Zpat">
    <w:name w:val="footer"/>
    <w:basedOn w:val="Normln"/>
    <w:link w:val="ZpatChar"/>
    <w:uiPriority w:val="99"/>
    <w:unhideWhenUsed/>
    <w:rsid w:val="009B404E"/>
    <w:pPr>
      <w:tabs>
        <w:tab w:val="center" w:pos="4536"/>
        <w:tab w:val="right" w:pos="9072"/>
      </w:tabs>
      <w:spacing w:after="0" w:line="240" w:lineRule="auto"/>
    </w:pPr>
  </w:style>
  <w:style w:type="character" w:customStyle="1" w:styleId="ZpatChar">
    <w:name w:val="Zápatí Char"/>
    <w:basedOn w:val="Standardnpsmoodstavce"/>
    <w:link w:val="Zpat"/>
    <w:uiPriority w:val="99"/>
    <w:rsid w:val="009B404E"/>
  </w:style>
  <w:style w:type="character" w:customStyle="1" w:styleId="Nadpis1Char">
    <w:name w:val="Nadpis 1 Char"/>
    <w:basedOn w:val="Standardnpsmoodstavce"/>
    <w:link w:val="Nadpis1"/>
    <w:uiPriority w:val="9"/>
    <w:rsid w:val="00C00401"/>
    <w:rPr>
      <w:rFonts w:ascii="Open Sans" w:hAnsi="Open Sans"/>
      <w:b/>
      <w:bCs/>
      <w:sz w:val="32"/>
      <w:szCs w:val="32"/>
    </w:rPr>
  </w:style>
  <w:style w:type="character" w:styleId="Hypertextovodkaz">
    <w:name w:val="Hyperlink"/>
    <w:basedOn w:val="Standardnpsmoodstavce"/>
    <w:uiPriority w:val="99"/>
    <w:unhideWhenUsed/>
    <w:rsid w:val="00AC7B69"/>
    <w:rPr>
      <w:color w:val="0563C1" w:themeColor="hyperlink"/>
      <w:u w:val="single"/>
    </w:rPr>
  </w:style>
  <w:style w:type="character" w:styleId="Nevyeenzmnka">
    <w:name w:val="Unresolved Mention"/>
    <w:basedOn w:val="Standardnpsmoodstavce"/>
    <w:uiPriority w:val="99"/>
    <w:semiHidden/>
    <w:unhideWhenUsed/>
    <w:rsid w:val="00AC7B69"/>
    <w:rPr>
      <w:color w:val="605E5C"/>
      <w:shd w:val="clear" w:color="auto" w:fill="E1DFDD"/>
    </w:rPr>
  </w:style>
  <w:style w:type="table" w:styleId="Mkatabulky">
    <w:name w:val="Table Grid"/>
    <w:basedOn w:val="Normlntabulka"/>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lnweb">
    <w:name w:val="Normal (Web)"/>
    <w:basedOn w:val="Normln"/>
    <w:uiPriority w:val="99"/>
    <w:semiHidden/>
    <w:unhideWhenUsed/>
    <w:rsid w:val="00C00401"/>
    <w:pPr>
      <w:spacing w:before="100" w:beforeAutospacing="1" w:after="100" w:afterAutospacing="1" w:line="240" w:lineRule="auto"/>
    </w:pPr>
    <w:rPr>
      <w:rFonts w:ascii="Times New Roman" w:eastAsia="Times New Roman" w:hAnsi="Times New Roman" w:cs="Times New Roman"/>
      <w:kern w:val="0"/>
      <w:sz w:val="24"/>
      <w:szCs w:val="24"/>
      <w:lang w:eastAsia="cs-CZ"/>
      <w14:ligatures w14:val="none"/>
    </w:rPr>
  </w:style>
  <w:style w:type="paragraph" w:customStyle="1" w:styleId="Perex">
    <w:name w:val="Perex"/>
    <w:basedOn w:val="Normln"/>
    <w:qFormat/>
    <w:rsid w:val="00C00401"/>
    <w:rPr>
      <w:b/>
      <w:bCs/>
    </w:rPr>
  </w:style>
  <w:style w:type="paragraph" w:customStyle="1" w:styleId="Boilerplate">
    <w:name w:val="Boiler plate"/>
    <w:basedOn w:val="Normln"/>
    <w:qFormat/>
    <w:rsid w:val="00C00401"/>
    <w:rPr>
      <w:i/>
      <w:iCs/>
      <w:sz w:val="20"/>
      <w:szCs w:val="20"/>
    </w:rPr>
  </w:style>
  <w:style w:type="paragraph" w:customStyle="1" w:styleId="Zahlavi">
    <w:name w:val="Zahlavi"/>
    <w:basedOn w:val="Zhlav"/>
    <w:qFormat/>
    <w:rsid w:val="00C00401"/>
    <w:rPr>
      <w:noProof/>
      <w:sz w:val="30"/>
      <w:szCs w:val="30"/>
    </w:rPr>
  </w:style>
  <w:style w:type="paragraph" w:customStyle="1" w:styleId="Citace">
    <w:name w:val="Citace"/>
    <w:basedOn w:val="Normln"/>
    <w:qFormat/>
    <w:rsid w:val="001E6AB9"/>
    <w:rPr>
      <w:i/>
      <w:iCs/>
    </w:rPr>
  </w:style>
  <w:style w:type="paragraph" w:styleId="Revize">
    <w:name w:val="Revision"/>
    <w:hidden/>
    <w:uiPriority w:val="99"/>
    <w:semiHidden/>
    <w:rsid w:val="00136991"/>
    <w:pPr>
      <w:spacing w:after="0" w:line="240" w:lineRule="auto"/>
    </w:pPr>
    <w:rPr>
      <w:rFonts w:ascii="Open Sans" w:hAnsi="Open Sans"/>
    </w:rPr>
  </w:style>
  <w:style w:type="character" w:styleId="Odkaznakoment">
    <w:name w:val="annotation reference"/>
    <w:basedOn w:val="Standardnpsmoodstavce"/>
    <w:uiPriority w:val="99"/>
    <w:semiHidden/>
    <w:unhideWhenUsed/>
    <w:rsid w:val="00FB2B67"/>
    <w:rPr>
      <w:sz w:val="16"/>
      <w:szCs w:val="16"/>
    </w:rPr>
  </w:style>
  <w:style w:type="paragraph" w:styleId="Textkomente">
    <w:name w:val="annotation text"/>
    <w:basedOn w:val="Normln"/>
    <w:link w:val="TextkomenteChar"/>
    <w:uiPriority w:val="99"/>
    <w:semiHidden/>
    <w:unhideWhenUsed/>
    <w:rsid w:val="00FB2B67"/>
    <w:pPr>
      <w:spacing w:line="240" w:lineRule="auto"/>
    </w:pPr>
    <w:rPr>
      <w:sz w:val="20"/>
      <w:szCs w:val="20"/>
    </w:rPr>
  </w:style>
  <w:style w:type="character" w:customStyle="1" w:styleId="TextkomenteChar">
    <w:name w:val="Text komentáře Char"/>
    <w:basedOn w:val="Standardnpsmoodstavce"/>
    <w:link w:val="Textkomente"/>
    <w:uiPriority w:val="99"/>
    <w:semiHidden/>
    <w:rsid w:val="00FB2B67"/>
    <w:rPr>
      <w:rFonts w:ascii="Open Sans" w:hAnsi="Open Sans"/>
      <w:sz w:val="20"/>
      <w:szCs w:val="20"/>
    </w:rPr>
  </w:style>
  <w:style w:type="paragraph" w:styleId="Pedmtkomente">
    <w:name w:val="annotation subject"/>
    <w:basedOn w:val="Textkomente"/>
    <w:next w:val="Textkomente"/>
    <w:link w:val="PedmtkomenteChar"/>
    <w:uiPriority w:val="99"/>
    <w:semiHidden/>
    <w:unhideWhenUsed/>
    <w:rsid w:val="00FB2B67"/>
    <w:rPr>
      <w:b/>
      <w:bCs/>
    </w:rPr>
  </w:style>
  <w:style w:type="character" w:customStyle="1" w:styleId="PedmtkomenteChar">
    <w:name w:val="Předmět komentáře Char"/>
    <w:basedOn w:val="TextkomenteChar"/>
    <w:link w:val="Pedmtkomente"/>
    <w:uiPriority w:val="99"/>
    <w:semiHidden/>
    <w:rsid w:val="00FB2B67"/>
    <w:rPr>
      <w:rFonts w:ascii="Open Sans" w:hAnsi="Open Sans"/>
      <w:b/>
      <w:bCs/>
      <w:sz w:val="20"/>
      <w:szCs w:val="20"/>
    </w:rPr>
  </w:style>
  <w:style w:type="character" w:styleId="Zdraznn">
    <w:name w:val="Emphasis"/>
    <w:basedOn w:val="Standardnpsmoodstavce"/>
    <w:uiPriority w:val="20"/>
    <w:qFormat/>
    <w:rsid w:val="00010B20"/>
    <w:rPr>
      <w:i/>
      <w:iCs/>
    </w:rPr>
  </w:style>
  <w:style w:type="paragraph" w:styleId="Odstavecseseznamem">
    <w:name w:val="List Paragraph"/>
    <w:basedOn w:val="Normln"/>
    <w:uiPriority w:val="34"/>
    <w:qFormat/>
    <w:rsid w:val="00C6449E"/>
    <w:pPr>
      <w:ind w:left="720"/>
      <w:contextualSpacing/>
    </w:pPr>
  </w:style>
  <w:style w:type="character" w:customStyle="1" w:styleId="Nadpis3Char">
    <w:name w:val="Nadpis 3 Char"/>
    <w:basedOn w:val="Standardnpsmoodstavce"/>
    <w:link w:val="Nadpis3"/>
    <w:uiPriority w:val="9"/>
    <w:semiHidden/>
    <w:rsid w:val="004D46E4"/>
    <w:rPr>
      <w:rFonts w:asciiTheme="majorHAnsi" w:eastAsiaTheme="majorEastAsia" w:hAnsiTheme="majorHAnsi" w:cstheme="majorBidi"/>
      <w:color w:val="1F3763" w:themeColor="accent1" w:themeShade="7F"/>
      <w:sz w:val="24"/>
      <w:szCs w:val="24"/>
    </w:rPr>
  </w:style>
  <w:style w:type="character" w:customStyle="1" w:styleId="Nadpis2Char">
    <w:name w:val="Nadpis 2 Char"/>
    <w:basedOn w:val="Standardnpsmoodstavce"/>
    <w:link w:val="Nadpis2"/>
    <w:uiPriority w:val="9"/>
    <w:semiHidden/>
    <w:rsid w:val="0070067D"/>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870983">
      <w:bodyDiv w:val="1"/>
      <w:marLeft w:val="0"/>
      <w:marRight w:val="0"/>
      <w:marTop w:val="0"/>
      <w:marBottom w:val="0"/>
      <w:divBdr>
        <w:top w:val="none" w:sz="0" w:space="0" w:color="auto"/>
        <w:left w:val="none" w:sz="0" w:space="0" w:color="auto"/>
        <w:bottom w:val="none" w:sz="0" w:space="0" w:color="auto"/>
        <w:right w:val="none" w:sz="0" w:space="0" w:color="auto"/>
      </w:divBdr>
    </w:div>
    <w:div w:id="12342214">
      <w:bodyDiv w:val="1"/>
      <w:marLeft w:val="0"/>
      <w:marRight w:val="0"/>
      <w:marTop w:val="0"/>
      <w:marBottom w:val="0"/>
      <w:divBdr>
        <w:top w:val="none" w:sz="0" w:space="0" w:color="auto"/>
        <w:left w:val="none" w:sz="0" w:space="0" w:color="auto"/>
        <w:bottom w:val="none" w:sz="0" w:space="0" w:color="auto"/>
        <w:right w:val="none" w:sz="0" w:space="0" w:color="auto"/>
      </w:divBdr>
    </w:div>
    <w:div w:id="23799728">
      <w:bodyDiv w:val="1"/>
      <w:marLeft w:val="0"/>
      <w:marRight w:val="0"/>
      <w:marTop w:val="0"/>
      <w:marBottom w:val="0"/>
      <w:divBdr>
        <w:top w:val="none" w:sz="0" w:space="0" w:color="auto"/>
        <w:left w:val="none" w:sz="0" w:space="0" w:color="auto"/>
        <w:bottom w:val="none" w:sz="0" w:space="0" w:color="auto"/>
        <w:right w:val="none" w:sz="0" w:space="0" w:color="auto"/>
      </w:divBdr>
    </w:div>
    <w:div w:id="62262887">
      <w:bodyDiv w:val="1"/>
      <w:marLeft w:val="0"/>
      <w:marRight w:val="0"/>
      <w:marTop w:val="0"/>
      <w:marBottom w:val="0"/>
      <w:divBdr>
        <w:top w:val="none" w:sz="0" w:space="0" w:color="auto"/>
        <w:left w:val="none" w:sz="0" w:space="0" w:color="auto"/>
        <w:bottom w:val="none" w:sz="0" w:space="0" w:color="auto"/>
        <w:right w:val="none" w:sz="0" w:space="0" w:color="auto"/>
      </w:divBdr>
    </w:div>
    <w:div w:id="87235945">
      <w:bodyDiv w:val="1"/>
      <w:marLeft w:val="0"/>
      <w:marRight w:val="0"/>
      <w:marTop w:val="0"/>
      <w:marBottom w:val="0"/>
      <w:divBdr>
        <w:top w:val="none" w:sz="0" w:space="0" w:color="auto"/>
        <w:left w:val="none" w:sz="0" w:space="0" w:color="auto"/>
        <w:bottom w:val="none" w:sz="0" w:space="0" w:color="auto"/>
        <w:right w:val="none" w:sz="0" w:space="0" w:color="auto"/>
      </w:divBdr>
    </w:div>
    <w:div w:id="108864487">
      <w:bodyDiv w:val="1"/>
      <w:marLeft w:val="0"/>
      <w:marRight w:val="0"/>
      <w:marTop w:val="0"/>
      <w:marBottom w:val="0"/>
      <w:divBdr>
        <w:top w:val="none" w:sz="0" w:space="0" w:color="auto"/>
        <w:left w:val="none" w:sz="0" w:space="0" w:color="auto"/>
        <w:bottom w:val="none" w:sz="0" w:space="0" w:color="auto"/>
        <w:right w:val="none" w:sz="0" w:space="0" w:color="auto"/>
      </w:divBdr>
    </w:div>
    <w:div w:id="123738827">
      <w:bodyDiv w:val="1"/>
      <w:marLeft w:val="0"/>
      <w:marRight w:val="0"/>
      <w:marTop w:val="0"/>
      <w:marBottom w:val="0"/>
      <w:divBdr>
        <w:top w:val="none" w:sz="0" w:space="0" w:color="auto"/>
        <w:left w:val="none" w:sz="0" w:space="0" w:color="auto"/>
        <w:bottom w:val="none" w:sz="0" w:space="0" w:color="auto"/>
        <w:right w:val="none" w:sz="0" w:space="0" w:color="auto"/>
      </w:divBdr>
    </w:div>
    <w:div w:id="134102301">
      <w:bodyDiv w:val="1"/>
      <w:marLeft w:val="0"/>
      <w:marRight w:val="0"/>
      <w:marTop w:val="0"/>
      <w:marBottom w:val="0"/>
      <w:divBdr>
        <w:top w:val="none" w:sz="0" w:space="0" w:color="auto"/>
        <w:left w:val="none" w:sz="0" w:space="0" w:color="auto"/>
        <w:bottom w:val="none" w:sz="0" w:space="0" w:color="auto"/>
        <w:right w:val="none" w:sz="0" w:space="0" w:color="auto"/>
      </w:divBdr>
    </w:div>
    <w:div w:id="162473556">
      <w:bodyDiv w:val="1"/>
      <w:marLeft w:val="0"/>
      <w:marRight w:val="0"/>
      <w:marTop w:val="0"/>
      <w:marBottom w:val="0"/>
      <w:divBdr>
        <w:top w:val="none" w:sz="0" w:space="0" w:color="auto"/>
        <w:left w:val="none" w:sz="0" w:space="0" w:color="auto"/>
        <w:bottom w:val="none" w:sz="0" w:space="0" w:color="auto"/>
        <w:right w:val="none" w:sz="0" w:space="0" w:color="auto"/>
      </w:divBdr>
    </w:div>
    <w:div w:id="200363463">
      <w:bodyDiv w:val="1"/>
      <w:marLeft w:val="0"/>
      <w:marRight w:val="0"/>
      <w:marTop w:val="0"/>
      <w:marBottom w:val="0"/>
      <w:divBdr>
        <w:top w:val="none" w:sz="0" w:space="0" w:color="auto"/>
        <w:left w:val="none" w:sz="0" w:space="0" w:color="auto"/>
        <w:bottom w:val="none" w:sz="0" w:space="0" w:color="auto"/>
        <w:right w:val="none" w:sz="0" w:space="0" w:color="auto"/>
      </w:divBdr>
    </w:div>
    <w:div w:id="201401824">
      <w:bodyDiv w:val="1"/>
      <w:marLeft w:val="0"/>
      <w:marRight w:val="0"/>
      <w:marTop w:val="0"/>
      <w:marBottom w:val="0"/>
      <w:divBdr>
        <w:top w:val="none" w:sz="0" w:space="0" w:color="auto"/>
        <w:left w:val="none" w:sz="0" w:space="0" w:color="auto"/>
        <w:bottom w:val="none" w:sz="0" w:space="0" w:color="auto"/>
        <w:right w:val="none" w:sz="0" w:space="0" w:color="auto"/>
      </w:divBdr>
    </w:div>
    <w:div w:id="248462647">
      <w:bodyDiv w:val="1"/>
      <w:marLeft w:val="0"/>
      <w:marRight w:val="0"/>
      <w:marTop w:val="0"/>
      <w:marBottom w:val="0"/>
      <w:divBdr>
        <w:top w:val="none" w:sz="0" w:space="0" w:color="auto"/>
        <w:left w:val="none" w:sz="0" w:space="0" w:color="auto"/>
        <w:bottom w:val="none" w:sz="0" w:space="0" w:color="auto"/>
        <w:right w:val="none" w:sz="0" w:space="0" w:color="auto"/>
      </w:divBdr>
    </w:div>
    <w:div w:id="263999755">
      <w:bodyDiv w:val="1"/>
      <w:marLeft w:val="0"/>
      <w:marRight w:val="0"/>
      <w:marTop w:val="0"/>
      <w:marBottom w:val="0"/>
      <w:divBdr>
        <w:top w:val="none" w:sz="0" w:space="0" w:color="auto"/>
        <w:left w:val="none" w:sz="0" w:space="0" w:color="auto"/>
        <w:bottom w:val="none" w:sz="0" w:space="0" w:color="auto"/>
        <w:right w:val="none" w:sz="0" w:space="0" w:color="auto"/>
      </w:divBdr>
    </w:div>
    <w:div w:id="365953058">
      <w:bodyDiv w:val="1"/>
      <w:marLeft w:val="0"/>
      <w:marRight w:val="0"/>
      <w:marTop w:val="0"/>
      <w:marBottom w:val="0"/>
      <w:divBdr>
        <w:top w:val="none" w:sz="0" w:space="0" w:color="auto"/>
        <w:left w:val="none" w:sz="0" w:space="0" w:color="auto"/>
        <w:bottom w:val="none" w:sz="0" w:space="0" w:color="auto"/>
        <w:right w:val="none" w:sz="0" w:space="0" w:color="auto"/>
      </w:divBdr>
    </w:div>
    <w:div w:id="374736335">
      <w:bodyDiv w:val="1"/>
      <w:marLeft w:val="0"/>
      <w:marRight w:val="0"/>
      <w:marTop w:val="0"/>
      <w:marBottom w:val="0"/>
      <w:divBdr>
        <w:top w:val="none" w:sz="0" w:space="0" w:color="auto"/>
        <w:left w:val="none" w:sz="0" w:space="0" w:color="auto"/>
        <w:bottom w:val="none" w:sz="0" w:space="0" w:color="auto"/>
        <w:right w:val="none" w:sz="0" w:space="0" w:color="auto"/>
      </w:divBdr>
    </w:div>
    <w:div w:id="390349733">
      <w:bodyDiv w:val="1"/>
      <w:marLeft w:val="0"/>
      <w:marRight w:val="0"/>
      <w:marTop w:val="0"/>
      <w:marBottom w:val="0"/>
      <w:divBdr>
        <w:top w:val="none" w:sz="0" w:space="0" w:color="auto"/>
        <w:left w:val="none" w:sz="0" w:space="0" w:color="auto"/>
        <w:bottom w:val="none" w:sz="0" w:space="0" w:color="auto"/>
        <w:right w:val="none" w:sz="0" w:space="0" w:color="auto"/>
      </w:divBdr>
    </w:div>
    <w:div w:id="498354500">
      <w:bodyDiv w:val="1"/>
      <w:marLeft w:val="0"/>
      <w:marRight w:val="0"/>
      <w:marTop w:val="0"/>
      <w:marBottom w:val="0"/>
      <w:divBdr>
        <w:top w:val="none" w:sz="0" w:space="0" w:color="auto"/>
        <w:left w:val="none" w:sz="0" w:space="0" w:color="auto"/>
        <w:bottom w:val="none" w:sz="0" w:space="0" w:color="auto"/>
        <w:right w:val="none" w:sz="0" w:space="0" w:color="auto"/>
      </w:divBdr>
    </w:div>
    <w:div w:id="527523832">
      <w:bodyDiv w:val="1"/>
      <w:marLeft w:val="0"/>
      <w:marRight w:val="0"/>
      <w:marTop w:val="0"/>
      <w:marBottom w:val="0"/>
      <w:divBdr>
        <w:top w:val="none" w:sz="0" w:space="0" w:color="auto"/>
        <w:left w:val="none" w:sz="0" w:space="0" w:color="auto"/>
        <w:bottom w:val="none" w:sz="0" w:space="0" w:color="auto"/>
        <w:right w:val="none" w:sz="0" w:space="0" w:color="auto"/>
      </w:divBdr>
    </w:div>
    <w:div w:id="541985196">
      <w:bodyDiv w:val="1"/>
      <w:marLeft w:val="0"/>
      <w:marRight w:val="0"/>
      <w:marTop w:val="0"/>
      <w:marBottom w:val="0"/>
      <w:divBdr>
        <w:top w:val="none" w:sz="0" w:space="0" w:color="auto"/>
        <w:left w:val="none" w:sz="0" w:space="0" w:color="auto"/>
        <w:bottom w:val="none" w:sz="0" w:space="0" w:color="auto"/>
        <w:right w:val="none" w:sz="0" w:space="0" w:color="auto"/>
      </w:divBdr>
    </w:div>
    <w:div w:id="569577670">
      <w:bodyDiv w:val="1"/>
      <w:marLeft w:val="0"/>
      <w:marRight w:val="0"/>
      <w:marTop w:val="0"/>
      <w:marBottom w:val="0"/>
      <w:divBdr>
        <w:top w:val="none" w:sz="0" w:space="0" w:color="auto"/>
        <w:left w:val="none" w:sz="0" w:space="0" w:color="auto"/>
        <w:bottom w:val="none" w:sz="0" w:space="0" w:color="auto"/>
        <w:right w:val="none" w:sz="0" w:space="0" w:color="auto"/>
      </w:divBdr>
    </w:div>
    <w:div w:id="596063158">
      <w:bodyDiv w:val="1"/>
      <w:marLeft w:val="0"/>
      <w:marRight w:val="0"/>
      <w:marTop w:val="0"/>
      <w:marBottom w:val="0"/>
      <w:divBdr>
        <w:top w:val="none" w:sz="0" w:space="0" w:color="auto"/>
        <w:left w:val="none" w:sz="0" w:space="0" w:color="auto"/>
        <w:bottom w:val="none" w:sz="0" w:space="0" w:color="auto"/>
        <w:right w:val="none" w:sz="0" w:space="0" w:color="auto"/>
      </w:divBdr>
    </w:div>
    <w:div w:id="633099179">
      <w:bodyDiv w:val="1"/>
      <w:marLeft w:val="0"/>
      <w:marRight w:val="0"/>
      <w:marTop w:val="0"/>
      <w:marBottom w:val="0"/>
      <w:divBdr>
        <w:top w:val="none" w:sz="0" w:space="0" w:color="auto"/>
        <w:left w:val="none" w:sz="0" w:space="0" w:color="auto"/>
        <w:bottom w:val="none" w:sz="0" w:space="0" w:color="auto"/>
        <w:right w:val="none" w:sz="0" w:space="0" w:color="auto"/>
      </w:divBdr>
      <w:divsChild>
        <w:div w:id="83234551">
          <w:marLeft w:val="0"/>
          <w:marRight w:val="0"/>
          <w:marTop w:val="0"/>
          <w:marBottom w:val="0"/>
          <w:divBdr>
            <w:top w:val="none" w:sz="0" w:space="0" w:color="auto"/>
            <w:left w:val="none" w:sz="0" w:space="0" w:color="auto"/>
            <w:bottom w:val="none" w:sz="0" w:space="0" w:color="auto"/>
            <w:right w:val="none" w:sz="0" w:space="0" w:color="auto"/>
          </w:divBdr>
        </w:div>
      </w:divsChild>
    </w:div>
    <w:div w:id="657733527">
      <w:bodyDiv w:val="1"/>
      <w:marLeft w:val="0"/>
      <w:marRight w:val="0"/>
      <w:marTop w:val="0"/>
      <w:marBottom w:val="0"/>
      <w:divBdr>
        <w:top w:val="none" w:sz="0" w:space="0" w:color="auto"/>
        <w:left w:val="none" w:sz="0" w:space="0" w:color="auto"/>
        <w:bottom w:val="none" w:sz="0" w:space="0" w:color="auto"/>
        <w:right w:val="none" w:sz="0" w:space="0" w:color="auto"/>
      </w:divBdr>
    </w:div>
    <w:div w:id="667755336">
      <w:bodyDiv w:val="1"/>
      <w:marLeft w:val="0"/>
      <w:marRight w:val="0"/>
      <w:marTop w:val="0"/>
      <w:marBottom w:val="0"/>
      <w:divBdr>
        <w:top w:val="none" w:sz="0" w:space="0" w:color="auto"/>
        <w:left w:val="none" w:sz="0" w:space="0" w:color="auto"/>
        <w:bottom w:val="none" w:sz="0" w:space="0" w:color="auto"/>
        <w:right w:val="none" w:sz="0" w:space="0" w:color="auto"/>
      </w:divBdr>
    </w:div>
    <w:div w:id="769617554">
      <w:bodyDiv w:val="1"/>
      <w:marLeft w:val="0"/>
      <w:marRight w:val="0"/>
      <w:marTop w:val="0"/>
      <w:marBottom w:val="0"/>
      <w:divBdr>
        <w:top w:val="none" w:sz="0" w:space="0" w:color="auto"/>
        <w:left w:val="none" w:sz="0" w:space="0" w:color="auto"/>
        <w:bottom w:val="none" w:sz="0" w:space="0" w:color="auto"/>
        <w:right w:val="none" w:sz="0" w:space="0" w:color="auto"/>
      </w:divBdr>
    </w:div>
    <w:div w:id="774330729">
      <w:bodyDiv w:val="1"/>
      <w:marLeft w:val="0"/>
      <w:marRight w:val="0"/>
      <w:marTop w:val="0"/>
      <w:marBottom w:val="0"/>
      <w:divBdr>
        <w:top w:val="none" w:sz="0" w:space="0" w:color="auto"/>
        <w:left w:val="none" w:sz="0" w:space="0" w:color="auto"/>
        <w:bottom w:val="none" w:sz="0" w:space="0" w:color="auto"/>
        <w:right w:val="none" w:sz="0" w:space="0" w:color="auto"/>
      </w:divBdr>
    </w:div>
    <w:div w:id="797603939">
      <w:bodyDiv w:val="1"/>
      <w:marLeft w:val="0"/>
      <w:marRight w:val="0"/>
      <w:marTop w:val="0"/>
      <w:marBottom w:val="0"/>
      <w:divBdr>
        <w:top w:val="none" w:sz="0" w:space="0" w:color="auto"/>
        <w:left w:val="none" w:sz="0" w:space="0" w:color="auto"/>
        <w:bottom w:val="none" w:sz="0" w:space="0" w:color="auto"/>
        <w:right w:val="none" w:sz="0" w:space="0" w:color="auto"/>
      </w:divBdr>
    </w:div>
    <w:div w:id="806092958">
      <w:bodyDiv w:val="1"/>
      <w:marLeft w:val="0"/>
      <w:marRight w:val="0"/>
      <w:marTop w:val="0"/>
      <w:marBottom w:val="0"/>
      <w:divBdr>
        <w:top w:val="none" w:sz="0" w:space="0" w:color="auto"/>
        <w:left w:val="none" w:sz="0" w:space="0" w:color="auto"/>
        <w:bottom w:val="none" w:sz="0" w:space="0" w:color="auto"/>
        <w:right w:val="none" w:sz="0" w:space="0" w:color="auto"/>
      </w:divBdr>
    </w:div>
    <w:div w:id="819616791">
      <w:bodyDiv w:val="1"/>
      <w:marLeft w:val="0"/>
      <w:marRight w:val="0"/>
      <w:marTop w:val="0"/>
      <w:marBottom w:val="0"/>
      <w:divBdr>
        <w:top w:val="none" w:sz="0" w:space="0" w:color="auto"/>
        <w:left w:val="none" w:sz="0" w:space="0" w:color="auto"/>
        <w:bottom w:val="none" w:sz="0" w:space="0" w:color="auto"/>
        <w:right w:val="none" w:sz="0" w:space="0" w:color="auto"/>
      </w:divBdr>
    </w:div>
    <w:div w:id="854148073">
      <w:bodyDiv w:val="1"/>
      <w:marLeft w:val="0"/>
      <w:marRight w:val="0"/>
      <w:marTop w:val="0"/>
      <w:marBottom w:val="0"/>
      <w:divBdr>
        <w:top w:val="none" w:sz="0" w:space="0" w:color="auto"/>
        <w:left w:val="none" w:sz="0" w:space="0" w:color="auto"/>
        <w:bottom w:val="none" w:sz="0" w:space="0" w:color="auto"/>
        <w:right w:val="none" w:sz="0" w:space="0" w:color="auto"/>
      </w:divBdr>
    </w:div>
    <w:div w:id="910850719">
      <w:bodyDiv w:val="1"/>
      <w:marLeft w:val="0"/>
      <w:marRight w:val="0"/>
      <w:marTop w:val="0"/>
      <w:marBottom w:val="0"/>
      <w:divBdr>
        <w:top w:val="none" w:sz="0" w:space="0" w:color="auto"/>
        <w:left w:val="none" w:sz="0" w:space="0" w:color="auto"/>
        <w:bottom w:val="none" w:sz="0" w:space="0" w:color="auto"/>
        <w:right w:val="none" w:sz="0" w:space="0" w:color="auto"/>
      </w:divBdr>
    </w:div>
    <w:div w:id="962930125">
      <w:bodyDiv w:val="1"/>
      <w:marLeft w:val="0"/>
      <w:marRight w:val="0"/>
      <w:marTop w:val="0"/>
      <w:marBottom w:val="0"/>
      <w:divBdr>
        <w:top w:val="none" w:sz="0" w:space="0" w:color="auto"/>
        <w:left w:val="none" w:sz="0" w:space="0" w:color="auto"/>
        <w:bottom w:val="none" w:sz="0" w:space="0" w:color="auto"/>
        <w:right w:val="none" w:sz="0" w:space="0" w:color="auto"/>
      </w:divBdr>
    </w:div>
    <w:div w:id="1022171549">
      <w:bodyDiv w:val="1"/>
      <w:marLeft w:val="0"/>
      <w:marRight w:val="0"/>
      <w:marTop w:val="0"/>
      <w:marBottom w:val="0"/>
      <w:divBdr>
        <w:top w:val="none" w:sz="0" w:space="0" w:color="auto"/>
        <w:left w:val="none" w:sz="0" w:space="0" w:color="auto"/>
        <w:bottom w:val="none" w:sz="0" w:space="0" w:color="auto"/>
        <w:right w:val="none" w:sz="0" w:space="0" w:color="auto"/>
      </w:divBdr>
    </w:div>
    <w:div w:id="1049454290">
      <w:bodyDiv w:val="1"/>
      <w:marLeft w:val="0"/>
      <w:marRight w:val="0"/>
      <w:marTop w:val="0"/>
      <w:marBottom w:val="0"/>
      <w:divBdr>
        <w:top w:val="none" w:sz="0" w:space="0" w:color="auto"/>
        <w:left w:val="none" w:sz="0" w:space="0" w:color="auto"/>
        <w:bottom w:val="none" w:sz="0" w:space="0" w:color="auto"/>
        <w:right w:val="none" w:sz="0" w:space="0" w:color="auto"/>
      </w:divBdr>
    </w:div>
    <w:div w:id="1102457672">
      <w:bodyDiv w:val="1"/>
      <w:marLeft w:val="0"/>
      <w:marRight w:val="0"/>
      <w:marTop w:val="0"/>
      <w:marBottom w:val="0"/>
      <w:divBdr>
        <w:top w:val="none" w:sz="0" w:space="0" w:color="auto"/>
        <w:left w:val="none" w:sz="0" w:space="0" w:color="auto"/>
        <w:bottom w:val="none" w:sz="0" w:space="0" w:color="auto"/>
        <w:right w:val="none" w:sz="0" w:space="0" w:color="auto"/>
      </w:divBdr>
    </w:div>
    <w:div w:id="1159691526">
      <w:bodyDiv w:val="1"/>
      <w:marLeft w:val="0"/>
      <w:marRight w:val="0"/>
      <w:marTop w:val="0"/>
      <w:marBottom w:val="0"/>
      <w:divBdr>
        <w:top w:val="none" w:sz="0" w:space="0" w:color="auto"/>
        <w:left w:val="none" w:sz="0" w:space="0" w:color="auto"/>
        <w:bottom w:val="none" w:sz="0" w:space="0" w:color="auto"/>
        <w:right w:val="none" w:sz="0" w:space="0" w:color="auto"/>
      </w:divBdr>
    </w:div>
    <w:div w:id="1177961546">
      <w:bodyDiv w:val="1"/>
      <w:marLeft w:val="0"/>
      <w:marRight w:val="0"/>
      <w:marTop w:val="0"/>
      <w:marBottom w:val="0"/>
      <w:divBdr>
        <w:top w:val="none" w:sz="0" w:space="0" w:color="auto"/>
        <w:left w:val="none" w:sz="0" w:space="0" w:color="auto"/>
        <w:bottom w:val="none" w:sz="0" w:space="0" w:color="auto"/>
        <w:right w:val="none" w:sz="0" w:space="0" w:color="auto"/>
      </w:divBdr>
    </w:div>
    <w:div w:id="1225683506">
      <w:bodyDiv w:val="1"/>
      <w:marLeft w:val="0"/>
      <w:marRight w:val="0"/>
      <w:marTop w:val="0"/>
      <w:marBottom w:val="0"/>
      <w:divBdr>
        <w:top w:val="none" w:sz="0" w:space="0" w:color="auto"/>
        <w:left w:val="none" w:sz="0" w:space="0" w:color="auto"/>
        <w:bottom w:val="none" w:sz="0" w:space="0" w:color="auto"/>
        <w:right w:val="none" w:sz="0" w:space="0" w:color="auto"/>
      </w:divBdr>
    </w:div>
    <w:div w:id="1247034246">
      <w:bodyDiv w:val="1"/>
      <w:marLeft w:val="0"/>
      <w:marRight w:val="0"/>
      <w:marTop w:val="0"/>
      <w:marBottom w:val="0"/>
      <w:divBdr>
        <w:top w:val="none" w:sz="0" w:space="0" w:color="auto"/>
        <w:left w:val="none" w:sz="0" w:space="0" w:color="auto"/>
        <w:bottom w:val="none" w:sz="0" w:space="0" w:color="auto"/>
        <w:right w:val="none" w:sz="0" w:space="0" w:color="auto"/>
      </w:divBdr>
    </w:div>
    <w:div w:id="1286498252">
      <w:bodyDiv w:val="1"/>
      <w:marLeft w:val="0"/>
      <w:marRight w:val="0"/>
      <w:marTop w:val="0"/>
      <w:marBottom w:val="0"/>
      <w:divBdr>
        <w:top w:val="none" w:sz="0" w:space="0" w:color="auto"/>
        <w:left w:val="none" w:sz="0" w:space="0" w:color="auto"/>
        <w:bottom w:val="none" w:sz="0" w:space="0" w:color="auto"/>
        <w:right w:val="none" w:sz="0" w:space="0" w:color="auto"/>
      </w:divBdr>
    </w:div>
    <w:div w:id="1299650753">
      <w:bodyDiv w:val="1"/>
      <w:marLeft w:val="0"/>
      <w:marRight w:val="0"/>
      <w:marTop w:val="0"/>
      <w:marBottom w:val="0"/>
      <w:divBdr>
        <w:top w:val="none" w:sz="0" w:space="0" w:color="auto"/>
        <w:left w:val="none" w:sz="0" w:space="0" w:color="auto"/>
        <w:bottom w:val="none" w:sz="0" w:space="0" w:color="auto"/>
        <w:right w:val="none" w:sz="0" w:space="0" w:color="auto"/>
      </w:divBdr>
    </w:div>
    <w:div w:id="1355841273">
      <w:bodyDiv w:val="1"/>
      <w:marLeft w:val="0"/>
      <w:marRight w:val="0"/>
      <w:marTop w:val="0"/>
      <w:marBottom w:val="0"/>
      <w:divBdr>
        <w:top w:val="none" w:sz="0" w:space="0" w:color="auto"/>
        <w:left w:val="none" w:sz="0" w:space="0" w:color="auto"/>
        <w:bottom w:val="none" w:sz="0" w:space="0" w:color="auto"/>
        <w:right w:val="none" w:sz="0" w:space="0" w:color="auto"/>
      </w:divBdr>
    </w:div>
    <w:div w:id="1390499733">
      <w:bodyDiv w:val="1"/>
      <w:marLeft w:val="0"/>
      <w:marRight w:val="0"/>
      <w:marTop w:val="0"/>
      <w:marBottom w:val="0"/>
      <w:divBdr>
        <w:top w:val="none" w:sz="0" w:space="0" w:color="auto"/>
        <w:left w:val="none" w:sz="0" w:space="0" w:color="auto"/>
        <w:bottom w:val="none" w:sz="0" w:space="0" w:color="auto"/>
        <w:right w:val="none" w:sz="0" w:space="0" w:color="auto"/>
      </w:divBdr>
    </w:div>
    <w:div w:id="1420323874">
      <w:bodyDiv w:val="1"/>
      <w:marLeft w:val="0"/>
      <w:marRight w:val="0"/>
      <w:marTop w:val="0"/>
      <w:marBottom w:val="0"/>
      <w:divBdr>
        <w:top w:val="none" w:sz="0" w:space="0" w:color="auto"/>
        <w:left w:val="none" w:sz="0" w:space="0" w:color="auto"/>
        <w:bottom w:val="none" w:sz="0" w:space="0" w:color="auto"/>
        <w:right w:val="none" w:sz="0" w:space="0" w:color="auto"/>
      </w:divBdr>
    </w:div>
    <w:div w:id="1433669864">
      <w:bodyDiv w:val="1"/>
      <w:marLeft w:val="0"/>
      <w:marRight w:val="0"/>
      <w:marTop w:val="0"/>
      <w:marBottom w:val="0"/>
      <w:divBdr>
        <w:top w:val="none" w:sz="0" w:space="0" w:color="auto"/>
        <w:left w:val="none" w:sz="0" w:space="0" w:color="auto"/>
        <w:bottom w:val="none" w:sz="0" w:space="0" w:color="auto"/>
        <w:right w:val="none" w:sz="0" w:space="0" w:color="auto"/>
      </w:divBdr>
    </w:div>
    <w:div w:id="1435436820">
      <w:bodyDiv w:val="1"/>
      <w:marLeft w:val="0"/>
      <w:marRight w:val="0"/>
      <w:marTop w:val="0"/>
      <w:marBottom w:val="0"/>
      <w:divBdr>
        <w:top w:val="none" w:sz="0" w:space="0" w:color="auto"/>
        <w:left w:val="none" w:sz="0" w:space="0" w:color="auto"/>
        <w:bottom w:val="none" w:sz="0" w:space="0" w:color="auto"/>
        <w:right w:val="none" w:sz="0" w:space="0" w:color="auto"/>
      </w:divBdr>
    </w:div>
    <w:div w:id="1445077685">
      <w:bodyDiv w:val="1"/>
      <w:marLeft w:val="0"/>
      <w:marRight w:val="0"/>
      <w:marTop w:val="0"/>
      <w:marBottom w:val="0"/>
      <w:divBdr>
        <w:top w:val="none" w:sz="0" w:space="0" w:color="auto"/>
        <w:left w:val="none" w:sz="0" w:space="0" w:color="auto"/>
        <w:bottom w:val="none" w:sz="0" w:space="0" w:color="auto"/>
        <w:right w:val="none" w:sz="0" w:space="0" w:color="auto"/>
      </w:divBdr>
    </w:div>
    <w:div w:id="1468277384">
      <w:bodyDiv w:val="1"/>
      <w:marLeft w:val="0"/>
      <w:marRight w:val="0"/>
      <w:marTop w:val="0"/>
      <w:marBottom w:val="0"/>
      <w:divBdr>
        <w:top w:val="none" w:sz="0" w:space="0" w:color="auto"/>
        <w:left w:val="none" w:sz="0" w:space="0" w:color="auto"/>
        <w:bottom w:val="none" w:sz="0" w:space="0" w:color="auto"/>
        <w:right w:val="none" w:sz="0" w:space="0" w:color="auto"/>
      </w:divBdr>
    </w:div>
    <w:div w:id="1473281726">
      <w:bodyDiv w:val="1"/>
      <w:marLeft w:val="0"/>
      <w:marRight w:val="0"/>
      <w:marTop w:val="0"/>
      <w:marBottom w:val="0"/>
      <w:divBdr>
        <w:top w:val="none" w:sz="0" w:space="0" w:color="auto"/>
        <w:left w:val="none" w:sz="0" w:space="0" w:color="auto"/>
        <w:bottom w:val="none" w:sz="0" w:space="0" w:color="auto"/>
        <w:right w:val="none" w:sz="0" w:space="0" w:color="auto"/>
      </w:divBdr>
    </w:div>
    <w:div w:id="1497382569">
      <w:bodyDiv w:val="1"/>
      <w:marLeft w:val="0"/>
      <w:marRight w:val="0"/>
      <w:marTop w:val="0"/>
      <w:marBottom w:val="0"/>
      <w:divBdr>
        <w:top w:val="none" w:sz="0" w:space="0" w:color="auto"/>
        <w:left w:val="none" w:sz="0" w:space="0" w:color="auto"/>
        <w:bottom w:val="none" w:sz="0" w:space="0" w:color="auto"/>
        <w:right w:val="none" w:sz="0" w:space="0" w:color="auto"/>
      </w:divBdr>
    </w:div>
    <w:div w:id="1539009695">
      <w:bodyDiv w:val="1"/>
      <w:marLeft w:val="0"/>
      <w:marRight w:val="0"/>
      <w:marTop w:val="0"/>
      <w:marBottom w:val="0"/>
      <w:divBdr>
        <w:top w:val="none" w:sz="0" w:space="0" w:color="auto"/>
        <w:left w:val="none" w:sz="0" w:space="0" w:color="auto"/>
        <w:bottom w:val="none" w:sz="0" w:space="0" w:color="auto"/>
        <w:right w:val="none" w:sz="0" w:space="0" w:color="auto"/>
      </w:divBdr>
    </w:div>
    <w:div w:id="1542093751">
      <w:bodyDiv w:val="1"/>
      <w:marLeft w:val="0"/>
      <w:marRight w:val="0"/>
      <w:marTop w:val="0"/>
      <w:marBottom w:val="0"/>
      <w:divBdr>
        <w:top w:val="none" w:sz="0" w:space="0" w:color="auto"/>
        <w:left w:val="none" w:sz="0" w:space="0" w:color="auto"/>
        <w:bottom w:val="none" w:sz="0" w:space="0" w:color="auto"/>
        <w:right w:val="none" w:sz="0" w:space="0" w:color="auto"/>
      </w:divBdr>
    </w:div>
    <w:div w:id="1559825694">
      <w:bodyDiv w:val="1"/>
      <w:marLeft w:val="0"/>
      <w:marRight w:val="0"/>
      <w:marTop w:val="0"/>
      <w:marBottom w:val="0"/>
      <w:divBdr>
        <w:top w:val="none" w:sz="0" w:space="0" w:color="auto"/>
        <w:left w:val="none" w:sz="0" w:space="0" w:color="auto"/>
        <w:bottom w:val="none" w:sz="0" w:space="0" w:color="auto"/>
        <w:right w:val="none" w:sz="0" w:space="0" w:color="auto"/>
      </w:divBdr>
    </w:div>
    <w:div w:id="1571765366">
      <w:bodyDiv w:val="1"/>
      <w:marLeft w:val="0"/>
      <w:marRight w:val="0"/>
      <w:marTop w:val="0"/>
      <w:marBottom w:val="0"/>
      <w:divBdr>
        <w:top w:val="none" w:sz="0" w:space="0" w:color="auto"/>
        <w:left w:val="none" w:sz="0" w:space="0" w:color="auto"/>
        <w:bottom w:val="none" w:sz="0" w:space="0" w:color="auto"/>
        <w:right w:val="none" w:sz="0" w:space="0" w:color="auto"/>
      </w:divBdr>
    </w:div>
    <w:div w:id="1586719121">
      <w:bodyDiv w:val="1"/>
      <w:marLeft w:val="0"/>
      <w:marRight w:val="0"/>
      <w:marTop w:val="0"/>
      <w:marBottom w:val="0"/>
      <w:divBdr>
        <w:top w:val="none" w:sz="0" w:space="0" w:color="auto"/>
        <w:left w:val="none" w:sz="0" w:space="0" w:color="auto"/>
        <w:bottom w:val="none" w:sz="0" w:space="0" w:color="auto"/>
        <w:right w:val="none" w:sz="0" w:space="0" w:color="auto"/>
      </w:divBdr>
    </w:div>
    <w:div w:id="1599095215">
      <w:bodyDiv w:val="1"/>
      <w:marLeft w:val="0"/>
      <w:marRight w:val="0"/>
      <w:marTop w:val="0"/>
      <w:marBottom w:val="0"/>
      <w:divBdr>
        <w:top w:val="none" w:sz="0" w:space="0" w:color="auto"/>
        <w:left w:val="none" w:sz="0" w:space="0" w:color="auto"/>
        <w:bottom w:val="none" w:sz="0" w:space="0" w:color="auto"/>
        <w:right w:val="none" w:sz="0" w:space="0" w:color="auto"/>
      </w:divBdr>
    </w:div>
    <w:div w:id="1646160303">
      <w:bodyDiv w:val="1"/>
      <w:marLeft w:val="0"/>
      <w:marRight w:val="0"/>
      <w:marTop w:val="0"/>
      <w:marBottom w:val="0"/>
      <w:divBdr>
        <w:top w:val="none" w:sz="0" w:space="0" w:color="auto"/>
        <w:left w:val="none" w:sz="0" w:space="0" w:color="auto"/>
        <w:bottom w:val="none" w:sz="0" w:space="0" w:color="auto"/>
        <w:right w:val="none" w:sz="0" w:space="0" w:color="auto"/>
      </w:divBdr>
    </w:div>
    <w:div w:id="1647511536">
      <w:bodyDiv w:val="1"/>
      <w:marLeft w:val="0"/>
      <w:marRight w:val="0"/>
      <w:marTop w:val="0"/>
      <w:marBottom w:val="0"/>
      <w:divBdr>
        <w:top w:val="none" w:sz="0" w:space="0" w:color="auto"/>
        <w:left w:val="none" w:sz="0" w:space="0" w:color="auto"/>
        <w:bottom w:val="none" w:sz="0" w:space="0" w:color="auto"/>
        <w:right w:val="none" w:sz="0" w:space="0" w:color="auto"/>
      </w:divBdr>
    </w:div>
    <w:div w:id="1716932551">
      <w:bodyDiv w:val="1"/>
      <w:marLeft w:val="0"/>
      <w:marRight w:val="0"/>
      <w:marTop w:val="0"/>
      <w:marBottom w:val="0"/>
      <w:divBdr>
        <w:top w:val="none" w:sz="0" w:space="0" w:color="auto"/>
        <w:left w:val="none" w:sz="0" w:space="0" w:color="auto"/>
        <w:bottom w:val="none" w:sz="0" w:space="0" w:color="auto"/>
        <w:right w:val="none" w:sz="0" w:space="0" w:color="auto"/>
      </w:divBdr>
    </w:div>
    <w:div w:id="1887837779">
      <w:bodyDiv w:val="1"/>
      <w:marLeft w:val="0"/>
      <w:marRight w:val="0"/>
      <w:marTop w:val="0"/>
      <w:marBottom w:val="0"/>
      <w:divBdr>
        <w:top w:val="none" w:sz="0" w:space="0" w:color="auto"/>
        <w:left w:val="none" w:sz="0" w:space="0" w:color="auto"/>
        <w:bottom w:val="none" w:sz="0" w:space="0" w:color="auto"/>
        <w:right w:val="none" w:sz="0" w:space="0" w:color="auto"/>
      </w:divBdr>
    </w:div>
    <w:div w:id="1970042046">
      <w:bodyDiv w:val="1"/>
      <w:marLeft w:val="0"/>
      <w:marRight w:val="0"/>
      <w:marTop w:val="0"/>
      <w:marBottom w:val="0"/>
      <w:divBdr>
        <w:top w:val="none" w:sz="0" w:space="0" w:color="auto"/>
        <w:left w:val="none" w:sz="0" w:space="0" w:color="auto"/>
        <w:bottom w:val="none" w:sz="0" w:space="0" w:color="auto"/>
        <w:right w:val="none" w:sz="0" w:space="0" w:color="auto"/>
      </w:divBdr>
    </w:div>
    <w:div w:id="1993867368">
      <w:bodyDiv w:val="1"/>
      <w:marLeft w:val="0"/>
      <w:marRight w:val="0"/>
      <w:marTop w:val="0"/>
      <w:marBottom w:val="0"/>
      <w:divBdr>
        <w:top w:val="none" w:sz="0" w:space="0" w:color="auto"/>
        <w:left w:val="none" w:sz="0" w:space="0" w:color="auto"/>
        <w:bottom w:val="none" w:sz="0" w:space="0" w:color="auto"/>
        <w:right w:val="none" w:sz="0" w:space="0" w:color="auto"/>
      </w:divBdr>
    </w:div>
    <w:div w:id="2001081526">
      <w:bodyDiv w:val="1"/>
      <w:marLeft w:val="0"/>
      <w:marRight w:val="0"/>
      <w:marTop w:val="0"/>
      <w:marBottom w:val="0"/>
      <w:divBdr>
        <w:top w:val="none" w:sz="0" w:space="0" w:color="auto"/>
        <w:left w:val="none" w:sz="0" w:space="0" w:color="auto"/>
        <w:bottom w:val="none" w:sz="0" w:space="0" w:color="auto"/>
        <w:right w:val="none" w:sz="0" w:space="0" w:color="auto"/>
      </w:divBdr>
    </w:div>
    <w:div w:id="2003577415">
      <w:bodyDiv w:val="1"/>
      <w:marLeft w:val="0"/>
      <w:marRight w:val="0"/>
      <w:marTop w:val="0"/>
      <w:marBottom w:val="0"/>
      <w:divBdr>
        <w:top w:val="none" w:sz="0" w:space="0" w:color="auto"/>
        <w:left w:val="none" w:sz="0" w:space="0" w:color="auto"/>
        <w:bottom w:val="none" w:sz="0" w:space="0" w:color="auto"/>
        <w:right w:val="none" w:sz="0" w:space="0" w:color="auto"/>
      </w:divBdr>
    </w:div>
    <w:div w:id="2011909221">
      <w:bodyDiv w:val="1"/>
      <w:marLeft w:val="0"/>
      <w:marRight w:val="0"/>
      <w:marTop w:val="0"/>
      <w:marBottom w:val="0"/>
      <w:divBdr>
        <w:top w:val="none" w:sz="0" w:space="0" w:color="auto"/>
        <w:left w:val="none" w:sz="0" w:space="0" w:color="auto"/>
        <w:bottom w:val="none" w:sz="0" w:space="0" w:color="auto"/>
        <w:right w:val="none" w:sz="0" w:space="0" w:color="auto"/>
      </w:divBdr>
    </w:div>
    <w:div w:id="2051951345">
      <w:bodyDiv w:val="1"/>
      <w:marLeft w:val="0"/>
      <w:marRight w:val="0"/>
      <w:marTop w:val="0"/>
      <w:marBottom w:val="0"/>
      <w:divBdr>
        <w:top w:val="none" w:sz="0" w:space="0" w:color="auto"/>
        <w:left w:val="none" w:sz="0" w:space="0" w:color="auto"/>
        <w:bottom w:val="none" w:sz="0" w:space="0" w:color="auto"/>
        <w:right w:val="none" w:sz="0" w:space="0" w:color="auto"/>
      </w:divBdr>
    </w:div>
    <w:div w:id="2060473769">
      <w:bodyDiv w:val="1"/>
      <w:marLeft w:val="0"/>
      <w:marRight w:val="0"/>
      <w:marTop w:val="0"/>
      <w:marBottom w:val="0"/>
      <w:divBdr>
        <w:top w:val="none" w:sz="0" w:space="0" w:color="auto"/>
        <w:left w:val="none" w:sz="0" w:space="0" w:color="auto"/>
        <w:bottom w:val="none" w:sz="0" w:space="0" w:color="auto"/>
        <w:right w:val="none" w:sz="0" w:space="0" w:color="auto"/>
      </w:divBdr>
    </w:div>
    <w:div w:id="2071465021">
      <w:bodyDiv w:val="1"/>
      <w:marLeft w:val="0"/>
      <w:marRight w:val="0"/>
      <w:marTop w:val="0"/>
      <w:marBottom w:val="0"/>
      <w:divBdr>
        <w:top w:val="none" w:sz="0" w:space="0" w:color="auto"/>
        <w:left w:val="none" w:sz="0" w:space="0" w:color="auto"/>
        <w:bottom w:val="none" w:sz="0" w:space="0" w:color="auto"/>
        <w:right w:val="none" w:sz="0" w:space="0" w:color="auto"/>
      </w:divBdr>
    </w:div>
    <w:div w:id="2101482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hyperlink" Target="https://www.facebook.com/fingo.cz"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youtube.com/@fingocz3140" TargetMode="External"/><Relationship Id="rId17"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hyperlink" Target="https://www.linkedin.com/company/fingo-cz/"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ingo.cz/" TargetMode="Externa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twitter.com/fingocz"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svg"/><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ristina\OneDrive%20-%20Crest%20Communications,%20a.s\Plocha%20(old)\FinGO_Sablona.dotx"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E21AEF63623FE4F9A58CC6BACDC5B81" ma:contentTypeVersion="19" ma:contentTypeDescription="Vytvoří nový dokument" ma:contentTypeScope="" ma:versionID="1be463d6299491a138b6f9b31899bbf0">
  <xsd:schema xmlns:xsd="http://www.w3.org/2001/XMLSchema" xmlns:xs="http://www.w3.org/2001/XMLSchema" xmlns:p="http://schemas.microsoft.com/office/2006/metadata/properties" xmlns:ns2="65777e4e-9c65-48da-b9e4-8e2a74f419cb" xmlns:ns3="8b8775cd-cb9a-4824-a228-d043804fb9c1" targetNamespace="http://schemas.microsoft.com/office/2006/metadata/properties" ma:root="true" ma:fieldsID="d276a5fba64b1a9ffca0e011b97e5fd3" ns2:_="" ns3:_="">
    <xsd:import namespace="65777e4e-9c65-48da-b9e4-8e2a74f419cb"/>
    <xsd:import namespace="8b8775cd-cb9a-4824-a228-d043804fb9c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3:SharedWithUsers" minOccurs="0"/>
                <xsd:element ref="ns3:SharedWithDetails" minOccurs="0"/>
                <xsd:element ref="ns2:MediaServiceObjectDetectorVersions" minOccurs="0"/>
                <xsd:element ref="ns2:Obr_x00e1_zek"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5777e4e-9c65-48da-b9e4-8e2a74f419c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Značky obrázků" ma:readOnly="false" ma:fieldId="{5cf76f15-5ced-4ddc-b409-7134ff3c332f}" ma:taxonomyMulti="true" ma:sspId="9edf76fd-2037-4af9-a6b2-347afe04b2f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Obr_x00e1_zek" ma:index="25" nillable="true" ma:displayName="Obrázek" ma:format="Thumbnail" ma:internalName="Obr_x00e1_zek">
      <xsd:simpleType>
        <xsd:restriction base="dms:Unknown"/>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b8775cd-cb9a-4824-a228-d043804fb9c1"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89855081-c3a2-4f84-b7a2-171fb50a7e4f}" ma:internalName="TaxCatchAll" ma:showField="CatchAllData" ma:web="8b8775cd-cb9a-4824-a228-d043804fb9c1">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dílené s podrobnostm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8b8775cd-cb9a-4824-a228-d043804fb9c1" xsi:nil="true"/>
    <lcf76f155ced4ddcb4097134ff3c332f xmlns="65777e4e-9c65-48da-b9e4-8e2a74f419cb">
      <Terms xmlns="http://schemas.microsoft.com/office/infopath/2007/PartnerControls"/>
    </lcf76f155ced4ddcb4097134ff3c332f>
    <Obr_x00e1_zek xmlns="65777e4e-9c65-48da-b9e4-8e2a74f419c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BE2309-3517-405E-9025-EFF7B9D6E3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5777e4e-9c65-48da-b9e4-8e2a74f419cb"/>
    <ds:schemaRef ds:uri="8b8775cd-cb9a-4824-a228-d043804fb9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7682881-D906-41BE-9E8E-E6CECCD9DC59}">
  <ds:schemaRefs>
    <ds:schemaRef ds:uri="http://schemas.microsoft.com/office/2006/metadata/properties"/>
    <ds:schemaRef ds:uri="http://schemas.microsoft.com/office/infopath/2007/PartnerControls"/>
    <ds:schemaRef ds:uri="8b8775cd-cb9a-4824-a228-d043804fb9c1"/>
    <ds:schemaRef ds:uri="65777e4e-9c65-48da-b9e4-8e2a74f419cb"/>
  </ds:schemaRefs>
</ds:datastoreItem>
</file>

<file path=customXml/itemProps3.xml><?xml version="1.0" encoding="utf-8"?>
<ds:datastoreItem xmlns:ds="http://schemas.openxmlformats.org/officeDocument/2006/customXml" ds:itemID="{9E6E8602-1146-4A4E-9988-0A68C2B718DE}">
  <ds:schemaRefs>
    <ds:schemaRef ds:uri="http://schemas.microsoft.com/sharepoint/v3/contenttype/forms"/>
  </ds:schemaRefs>
</ds:datastoreItem>
</file>

<file path=customXml/itemProps4.xml><?xml version="1.0" encoding="utf-8"?>
<ds:datastoreItem xmlns:ds="http://schemas.openxmlformats.org/officeDocument/2006/customXml" ds:itemID="{60987C92-30E1-4D02-AC4F-FE070F618B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FinGO_Sablona.dotx</Template>
  <TotalTime>8</TotalTime>
  <Pages>2</Pages>
  <Words>687</Words>
  <Characters>4057</Characters>
  <Application>Microsoft Office Word</Application>
  <DocSecurity>0</DocSecurity>
  <Lines>33</Lines>
  <Paragraphs>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Jakub Knapp</dc:creator>
  <cp:keywords/>
  <dc:description/>
  <cp:lastModifiedBy>Jakub Knapp</cp:lastModifiedBy>
  <cp:revision>12</cp:revision>
  <dcterms:created xsi:type="dcterms:W3CDTF">2024-11-18T11:48:00Z</dcterms:created>
  <dcterms:modified xsi:type="dcterms:W3CDTF">2024-11-20T09:07:00Z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0x010100EE21AEF63623FE4F9A58CC6BACDC5B81</vt:lpwstr>
  </property>
  <property fmtid="{D5CDD505-2E9C-101B-9397-08002B2CF9AE}" pid="3" name="MediaServiceImageTags">
    <vt:lpwstr/>
  </property>
</Properties>
</file>