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759F" w14:textId="36815A64" w:rsidR="00175D64" w:rsidRDefault="00175D64" w:rsidP="00175D64">
      <w:pPr>
        <w:pStyle w:val="BodyCopy"/>
        <w:jc w:val="center"/>
        <w:rPr>
          <w:b/>
          <w:sz w:val="28"/>
          <w:szCs w:val="28"/>
          <w:lang w:val="cs-CZ"/>
        </w:rPr>
      </w:pPr>
      <w:r w:rsidRPr="00175D64">
        <w:rPr>
          <w:b/>
          <w:sz w:val="28"/>
          <w:szCs w:val="28"/>
          <w:lang w:val="cs-CZ"/>
        </w:rPr>
        <w:t>Analýza CBRE: Hotelový trh prochází dynamickým oživením. Praha očekává návrat na předpandemické hodnoty ještě letos</w:t>
      </w:r>
    </w:p>
    <w:p w14:paraId="0C65BFF2" w14:textId="77777777" w:rsidR="00175D64" w:rsidRDefault="00175D64" w:rsidP="00E02087">
      <w:pPr>
        <w:pStyle w:val="BodyCopy"/>
        <w:rPr>
          <w:b/>
          <w:sz w:val="28"/>
          <w:szCs w:val="28"/>
          <w:lang w:val="cs-CZ"/>
        </w:rPr>
      </w:pPr>
    </w:p>
    <w:p w14:paraId="147D5FB9" w14:textId="29D21D0D" w:rsidR="002A2AEC" w:rsidRPr="00175D64" w:rsidRDefault="08D67B47" w:rsidP="3DC0F952">
      <w:pPr>
        <w:pStyle w:val="BodyCopy"/>
        <w:jc w:val="center"/>
        <w:rPr>
          <w:i/>
          <w:iCs/>
          <w:lang w:val="cs-CZ"/>
        </w:rPr>
      </w:pPr>
      <w:r w:rsidRPr="3DC0F952">
        <w:rPr>
          <w:i/>
          <w:iCs/>
          <w:lang w:val="cs-CZ"/>
        </w:rPr>
        <w:t>Mezinárodní přenocování v metropoli dosahují 95 % úrovně z roku 2019</w:t>
      </w:r>
      <w:r w:rsidR="5AFA2426" w:rsidRPr="3DC0F952">
        <w:rPr>
          <w:i/>
          <w:iCs/>
          <w:lang w:val="cs-CZ"/>
        </w:rPr>
        <w:t xml:space="preserve"> a současně </w:t>
      </w:r>
      <w:r w:rsidRPr="3DC0F952">
        <w:rPr>
          <w:i/>
          <w:iCs/>
          <w:lang w:val="cs-CZ"/>
        </w:rPr>
        <w:t xml:space="preserve">investice do hotelů v regionu CEE </w:t>
      </w:r>
      <w:r w:rsidR="58A8BEB6" w:rsidRPr="3DC0F952">
        <w:rPr>
          <w:i/>
          <w:iCs/>
          <w:lang w:val="cs-CZ"/>
        </w:rPr>
        <w:t xml:space="preserve">meziročně </w:t>
      </w:r>
      <w:r w:rsidRPr="3DC0F952">
        <w:rPr>
          <w:i/>
          <w:iCs/>
          <w:lang w:val="cs-CZ"/>
        </w:rPr>
        <w:t>vzrostly o 12 %.</w:t>
      </w:r>
    </w:p>
    <w:p w14:paraId="41849812" w14:textId="77777777" w:rsidR="00175D64" w:rsidRDefault="00175D64" w:rsidP="00E02087">
      <w:pPr>
        <w:pStyle w:val="BodyCopy"/>
        <w:rPr>
          <w:b/>
          <w:sz w:val="28"/>
          <w:szCs w:val="28"/>
          <w:lang w:val="cs-CZ"/>
        </w:rPr>
      </w:pPr>
    </w:p>
    <w:p w14:paraId="71520EA2" w14:textId="460EA34A" w:rsidR="00175D64" w:rsidRPr="00175D64" w:rsidRDefault="1A6361E9" w:rsidP="00175D64">
      <w:pPr>
        <w:rPr>
          <w:color w:val="425254" w:themeColor="text1"/>
          <w:sz w:val="22"/>
          <w:szCs w:val="22"/>
          <w:lang w:val="cs-CZ"/>
        </w:rPr>
      </w:pPr>
      <w:r w:rsidRPr="3DC0F952">
        <w:rPr>
          <w:b/>
          <w:bCs/>
          <w:color w:val="425254" w:themeColor="text1"/>
          <w:sz w:val="22"/>
          <w:szCs w:val="22"/>
          <w:lang w:val="cs-CZ"/>
        </w:rPr>
        <w:t xml:space="preserve">Praha – </w:t>
      </w:r>
      <w:r w:rsidR="003F2907">
        <w:rPr>
          <w:b/>
          <w:bCs/>
          <w:color w:val="425254" w:themeColor="text1"/>
          <w:sz w:val="22"/>
          <w:szCs w:val="22"/>
          <w:lang w:val="cs-CZ"/>
        </w:rPr>
        <w:t>1</w:t>
      </w:r>
      <w:r w:rsidRPr="3DC0F952">
        <w:rPr>
          <w:b/>
          <w:bCs/>
          <w:color w:val="425254" w:themeColor="text1"/>
          <w:sz w:val="22"/>
          <w:szCs w:val="22"/>
          <w:lang w:val="cs-CZ"/>
        </w:rPr>
        <w:t xml:space="preserve">. </w:t>
      </w:r>
      <w:r w:rsidR="003F2907">
        <w:rPr>
          <w:b/>
          <w:bCs/>
          <w:color w:val="425254" w:themeColor="text1"/>
          <w:sz w:val="22"/>
          <w:szCs w:val="22"/>
          <w:lang w:val="cs-CZ"/>
        </w:rPr>
        <w:t>července</w:t>
      </w:r>
      <w:r w:rsidRPr="3DC0F952">
        <w:rPr>
          <w:b/>
          <w:bCs/>
          <w:color w:val="425254" w:themeColor="text1"/>
          <w:sz w:val="22"/>
          <w:szCs w:val="22"/>
          <w:lang w:val="cs-CZ"/>
        </w:rPr>
        <w:t xml:space="preserve"> 2025</w:t>
      </w:r>
      <w:r w:rsidRPr="3DC0F952">
        <w:rPr>
          <w:color w:val="425254" w:themeColor="text1"/>
          <w:sz w:val="22"/>
          <w:szCs w:val="22"/>
          <w:lang w:val="cs-CZ"/>
        </w:rPr>
        <w:t xml:space="preserve"> – </w:t>
      </w:r>
      <w:r w:rsidR="5ADF950F" w:rsidRPr="3DC0F952">
        <w:rPr>
          <w:color w:val="425254" w:themeColor="text1"/>
          <w:sz w:val="22"/>
          <w:szCs w:val="22"/>
          <w:lang w:val="cs-CZ"/>
        </w:rPr>
        <w:t>Hotelový trh v Praze a celém regionu střední a východní Evropy prožívá výrazné oživení, které překonává původní očekávání odborníků. Tento růst pohání silný rozvoj cestovního ruchu, jenž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="5ADF950F" w:rsidRPr="3DC0F952">
        <w:rPr>
          <w:color w:val="425254" w:themeColor="text1"/>
          <w:sz w:val="22"/>
          <w:szCs w:val="22"/>
          <w:lang w:val="cs-CZ"/>
        </w:rPr>
        <w:t>vychází z obnovené domácí poptávky, návratu zahraničních návštěvníků a měnících se preferencí cestujících. Praha si udržuje pozici nejnavštěvovanějšího města regionu, zatímco důvěra investorů posiluje a hotelový trh se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="5ADF950F" w:rsidRPr="3DC0F952">
        <w:rPr>
          <w:color w:val="425254" w:themeColor="text1"/>
          <w:sz w:val="22"/>
          <w:szCs w:val="22"/>
          <w:lang w:val="cs-CZ"/>
        </w:rPr>
        <w:t>rychle blíží předpandemickým úrovním. Vyplývá to z nejnovější analýzy společnosti CBRE, světového lídra v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="5ADF950F" w:rsidRPr="3DC0F952">
        <w:rPr>
          <w:color w:val="425254" w:themeColor="text1"/>
          <w:sz w:val="22"/>
          <w:szCs w:val="22"/>
          <w:lang w:val="cs-CZ"/>
        </w:rPr>
        <w:t>oblasti komerčních realitních služeb.</w:t>
      </w:r>
    </w:p>
    <w:p w14:paraId="74084B98" w14:textId="77777777" w:rsidR="00175D64" w:rsidRPr="00175D64" w:rsidRDefault="00175D64" w:rsidP="00175D64">
      <w:pPr>
        <w:rPr>
          <w:color w:val="425254" w:themeColor="text1"/>
          <w:sz w:val="22"/>
          <w:szCs w:val="22"/>
          <w:lang w:val="cs-CZ"/>
        </w:rPr>
      </w:pPr>
    </w:p>
    <w:p w14:paraId="7D48F20A" w14:textId="43EE88AA" w:rsidR="00175D64" w:rsidRPr="00175D64" w:rsidRDefault="08D67B47" w:rsidP="3DC0F952">
      <w:pPr>
        <w:rPr>
          <w:i/>
          <w:iCs/>
          <w:color w:val="425254" w:themeColor="text1"/>
          <w:sz w:val="22"/>
          <w:szCs w:val="22"/>
          <w:lang w:val="cs-CZ"/>
        </w:rPr>
      </w:pPr>
      <w:r w:rsidRPr="3DC0F952">
        <w:rPr>
          <w:i/>
          <w:iCs/>
          <w:color w:val="425153"/>
          <w:sz w:val="22"/>
          <w:szCs w:val="22"/>
          <w:lang w:val="cs-CZ"/>
        </w:rPr>
        <w:t xml:space="preserve">„V prvním čtvrtletí letošního roku zaznamenala Evropa 2% meziroční nárůst mezinárodních turistických příjezdů, </w:t>
      </w:r>
      <w:r w:rsidR="311E4DFC" w:rsidRPr="3DC0F952">
        <w:rPr>
          <w:i/>
          <w:iCs/>
          <w:color w:val="425153"/>
          <w:sz w:val="22"/>
          <w:szCs w:val="22"/>
          <w:lang w:val="cs-CZ"/>
        </w:rPr>
        <w:t xml:space="preserve">přičemž </w:t>
      </w:r>
      <w:r w:rsidRPr="3DC0F952">
        <w:rPr>
          <w:i/>
          <w:iCs/>
          <w:color w:val="425153"/>
          <w:sz w:val="22"/>
          <w:szCs w:val="22"/>
          <w:lang w:val="cs-CZ"/>
        </w:rPr>
        <w:t xml:space="preserve">region střední a východní Evropy dosáhl ještě lepších výsledků s 8% růstem. </w:t>
      </w:r>
      <w:r w:rsidR="5B267D4E" w:rsidRPr="3DC0F952">
        <w:rPr>
          <w:i/>
          <w:iCs/>
          <w:color w:val="425153"/>
          <w:sz w:val="22"/>
          <w:szCs w:val="22"/>
          <w:lang w:val="cs-CZ"/>
        </w:rPr>
        <w:t>Zajímavým jevem, který</w:t>
      </w:r>
      <w:r w:rsidR="0090202B">
        <w:rPr>
          <w:i/>
          <w:iCs/>
          <w:color w:val="425153"/>
          <w:sz w:val="22"/>
          <w:szCs w:val="22"/>
          <w:lang w:val="cs-CZ"/>
        </w:rPr>
        <w:t> </w:t>
      </w:r>
      <w:r w:rsidR="5B267D4E" w:rsidRPr="3DC0F952">
        <w:rPr>
          <w:i/>
          <w:iCs/>
          <w:color w:val="425153"/>
          <w:sz w:val="22"/>
          <w:szCs w:val="22"/>
          <w:lang w:val="cs-CZ"/>
        </w:rPr>
        <w:t>region</w:t>
      </w:r>
      <w:r w:rsidR="76421238" w:rsidRPr="3DC0F952">
        <w:rPr>
          <w:i/>
          <w:iCs/>
          <w:color w:val="425153"/>
          <w:sz w:val="22"/>
          <w:szCs w:val="22"/>
          <w:lang w:val="cs-CZ"/>
        </w:rPr>
        <w:t xml:space="preserve"> </w:t>
      </w:r>
      <w:r w:rsidR="5B267D4E" w:rsidRPr="3DC0F952">
        <w:rPr>
          <w:i/>
          <w:iCs/>
          <w:color w:val="425153"/>
          <w:sz w:val="22"/>
          <w:szCs w:val="22"/>
          <w:lang w:val="cs-CZ"/>
        </w:rPr>
        <w:t>výrazně ovlivňuje, je rostoucí obliba cestování mimo hlavní sezónu. Turisté stále častěji vyhledávají pobyty v méně vytížených obdobích, kdy nalézají výhodnější ceny a větší flexibilitu. Tato změna přispívá k</w:t>
      </w:r>
      <w:r w:rsidR="0090202B">
        <w:rPr>
          <w:i/>
          <w:iCs/>
          <w:color w:val="425153"/>
          <w:sz w:val="22"/>
          <w:szCs w:val="22"/>
          <w:lang w:val="cs-CZ"/>
        </w:rPr>
        <w:t> </w:t>
      </w:r>
      <w:r w:rsidR="5B267D4E" w:rsidRPr="3DC0F952">
        <w:rPr>
          <w:i/>
          <w:iCs/>
          <w:color w:val="425153"/>
          <w:sz w:val="22"/>
          <w:szCs w:val="22"/>
          <w:lang w:val="cs-CZ"/>
        </w:rPr>
        <w:t xml:space="preserve">vyrovnanější návštěvnosti během celého roku a posiluje stabilitu odvětví. Když k tomu připočteme silnou víkendovou a prázdninovou poptávku, očekáváme, že Praha </w:t>
      </w:r>
      <w:r w:rsidR="17DF2A70" w:rsidRPr="3DC0F952">
        <w:rPr>
          <w:i/>
          <w:iCs/>
          <w:color w:val="425153"/>
          <w:sz w:val="22"/>
          <w:szCs w:val="22"/>
          <w:lang w:val="cs-CZ"/>
        </w:rPr>
        <w:t xml:space="preserve">do </w:t>
      </w:r>
      <w:r w:rsidR="64D10C76" w:rsidRPr="3DC0F952">
        <w:rPr>
          <w:i/>
          <w:iCs/>
          <w:color w:val="425153"/>
          <w:sz w:val="22"/>
          <w:szCs w:val="22"/>
          <w:lang w:val="cs-CZ"/>
        </w:rPr>
        <w:t xml:space="preserve">konce </w:t>
      </w:r>
      <w:r w:rsidR="0157085E" w:rsidRPr="3DC0F952">
        <w:rPr>
          <w:i/>
          <w:iCs/>
          <w:color w:val="425153"/>
          <w:sz w:val="22"/>
          <w:szCs w:val="22"/>
          <w:lang w:val="cs-CZ"/>
        </w:rPr>
        <w:t>roku</w:t>
      </w:r>
      <w:r w:rsidR="5B267D4E" w:rsidRPr="3DC0F952">
        <w:rPr>
          <w:i/>
          <w:iCs/>
          <w:color w:val="425153"/>
          <w:sz w:val="22"/>
          <w:szCs w:val="22"/>
          <w:lang w:val="cs-CZ"/>
        </w:rPr>
        <w:t xml:space="preserve"> překoná výsledky z předpandemického </w:t>
      </w:r>
      <w:r w:rsidR="6370A194" w:rsidRPr="3DC0F952">
        <w:rPr>
          <w:i/>
          <w:iCs/>
          <w:color w:val="425153"/>
          <w:sz w:val="22"/>
          <w:szCs w:val="22"/>
          <w:lang w:val="cs-CZ"/>
        </w:rPr>
        <w:t>roku 2019</w:t>
      </w:r>
      <w:r w:rsidRPr="3DC0F952">
        <w:rPr>
          <w:i/>
          <w:iCs/>
          <w:color w:val="425153"/>
          <w:sz w:val="22"/>
          <w:szCs w:val="22"/>
          <w:lang w:val="cs-CZ"/>
        </w:rPr>
        <w:t>,"</w:t>
      </w:r>
      <w:r w:rsidRPr="3DC0F952">
        <w:rPr>
          <w:color w:val="425153"/>
          <w:sz w:val="22"/>
          <w:szCs w:val="22"/>
          <w:lang w:val="cs-CZ"/>
        </w:rPr>
        <w:t xml:space="preserve"> popisuje </w:t>
      </w:r>
      <w:r w:rsidRPr="3DC0F952">
        <w:rPr>
          <w:b/>
          <w:bCs/>
          <w:color w:val="425153"/>
          <w:sz w:val="22"/>
          <w:szCs w:val="22"/>
          <w:lang w:val="cs-CZ"/>
        </w:rPr>
        <w:t>Jakub Stanislav, vedoucí investičního oddělení v</w:t>
      </w:r>
      <w:r w:rsidR="5B267D4E" w:rsidRPr="3DC0F952">
        <w:rPr>
          <w:b/>
          <w:bCs/>
          <w:color w:val="425153"/>
          <w:sz w:val="22"/>
          <w:szCs w:val="22"/>
          <w:lang w:val="cs-CZ"/>
        </w:rPr>
        <w:t> </w:t>
      </w:r>
      <w:r w:rsidRPr="3DC0F952">
        <w:rPr>
          <w:b/>
          <w:bCs/>
          <w:color w:val="425153"/>
          <w:sz w:val="22"/>
          <w:szCs w:val="22"/>
          <w:lang w:val="cs-CZ"/>
        </w:rPr>
        <w:t>CBRE</w:t>
      </w:r>
      <w:r w:rsidR="5B267D4E" w:rsidRPr="3DC0F952">
        <w:rPr>
          <w:color w:val="425153"/>
          <w:sz w:val="22"/>
          <w:szCs w:val="22"/>
          <w:lang w:val="cs-CZ"/>
        </w:rPr>
        <w:t>.</w:t>
      </w:r>
    </w:p>
    <w:p w14:paraId="727A5228" w14:textId="77777777" w:rsidR="00175D64" w:rsidRPr="00175D64" w:rsidRDefault="00175D64" w:rsidP="00175D64">
      <w:pPr>
        <w:rPr>
          <w:color w:val="425254" w:themeColor="text1"/>
          <w:sz w:val="22"/>
          <w:szCs w:val="22"/>
          <w:lang w:val="cs-CZ"/>
        </w:rPr>
      </w:pPr>
    </w:p>
    <w:p w14:paraId="54B8C677" w14:textId="10B07B13" w:rsidR="00175D64" w:rsidRPr="00175D64" w:rsidRDefault="08D67B47" w:rsidP="00175D64">
      <w:pPr>
        <w:rPr>
          <w:color w:val="425254" w:themeColor="text1"/>
          <w:sz w:val="22"/>
          <w:szCs w:val="22"/>
          <w:lang w:val="cs-CZ"/>
        </w:rPr>
      </w:pPr>
      <w:r w:rsidRPr="3DC0F952">
        <w:rPr>
          <w:color w:val="425254" w:themeColor="text1"/>
          <w:sz w:val="22"/>
          <w:szCs w:val="22"/>
          <w:lang w:val="cs-CZ"/>
        </w:rPr>
        <w:t xml:space="preserve">Návrat turistů do </w:t>
      </w:r>
      <w:r w:rsidR="005754E1">
        <w:rPr>
          <w:color w:val="425254" w:themeColor="text1"/>
          <w:sz w:val="22"/>
          <w:szCs w:val="22"/>
          <w:lang w:val="cs-CZ"/>
        </w:rPr>
        <w:t>regionu CEE</w:t>
      </w:r>
      <w:r w:rsidR="005754E1" w:rsidRPr="3DC0F952">
        <w:rPr>
          <w:color w:val="425254" w:themeColor="text1"/>
          <w:sz w:val="22"/>
          <w:szCs w:val="22"/>
          <w:lang w:val="cs-CZ"/>
        </w:rPr>
        <w:t xml:space="preserve"> </w:t>
      </w:r>
      <w:r w:rsidR="00B33F45">
        <w:rPr>
          <w:color w:val="425254" w:themeColor="text1"/>
          <w:sz w:val="22"/>
          <w:szCs w:val="22"/>
          <w:lang w:val="cs-CZ"/>
        </w:rPr>
        <w:t xml:space="preserve">a SEE </w:t>
      </w:r>
      <w:r w:rsidRPr="3DC0F952">
        <w:rPr>
          <w:color w:val="425254" w:themeColor="text1"/>
          <w:sz w:val="22"/>
          <w:szCs w:val="22"/>
          <w:lang w:val="cs-CZ"/>
        </w:rPr>
        <w:t xml:space="preserve">se liší podle </w:t>
      </w:r>
      <w:r w:rsidR="27B08E67" w:rsidRPr="3DC0F952">
        <w:rPr>
          <w:color w:val="425254" w:themeColor="text1"/>
          <w:sz w:val="22"/>
          <w:szCs w:val="22"/>
          <w:lang w:val="cs-CZ"/>
        </w:rPr>
        <w:t xml:space="preserve">země </w:t>
      </w:r>
      <w:r w:rsidRPr="3DC0F952">
        <w:rPr>
          <w:color w:val="425254" w:themeColor="text1"/>
          <w:sz w:val="22"/>
          <w:szCs w:val="22"/>
          <w:lang w:val="cs-CZ"/>
        </w:rPr>
        <w:t xml:space="preserve">původu. </w:t>
      </w:r>
      <w:r w:rsidR="54B8047E" w:rsidRPr="3DC0F952">
        <w:rPr>
          <w:color w:val="425254" w:themeColor="text1"/>
          <w:sz w:val="22"/>
          <w:szCs w:val="22"/>
          <w:lang w:val="cs-CZ"/>
        </w:rPr>
        <w:t>Každopádně p</w:t>
      </w:r>
      <w:r w:rsidRPr="3DC0F952">
        <w:rPr>
          <w:color w:val="425254" w:themeColor="text1"/>
          <w:sz w:val="22"/>
          <w:szCs w:val="22"/>
          <w:lang w:val="cs-CZ"/>
        </w:rPr>
        <w:t>říjezdy ze západní Evropy se již z velké části zotavily</w:t>
      </w:r>
      <w:r w:rsidR="622E5EC5" w:rsidRPr="3DC0F952">
        <w:rPr>
          <w:color w:val="425254" w:themeColor="text1"/>
          <w:sz w:val="22"/>
          <w:szCs w:val="22"/>
          <w:lang w:val="cs-CZ"/>
        </w:rPr>
        <w:t>.</w:t>
      </w:r>
      <w:r w:rsidR="608DAC60" w:rsidRPr="3DC0F952">
        <w:rPr>
          <w:color w:val="425254" w:themeColor="text1"/>
          <w:sz w:val="22"/>
          <w:szCs w:val="22"/>
          <w:lang w:val="cs-CZ"/>
        </w:rPr>
        <w:t xml:space="preserve"> Ať</w:t>
      </w:r>
      <w:r w:rsidRPr="3DC0F952">
        <w:rPr>
          <w:color w:val="425254" w:themeColor="text1"/>
          <w:sz w:val="22"/>
          <w:szCs w:val="22"/>
          <w:lang w:val="cs-CZ"/>
        </w:rPr>
        <w:t xml:space="preserve"> už jde o návštěvníky z Německa, Rakouska či Itálie, kteří </w:t>
      </w:r>
      <w:r w:rsidR="61661E7F" w:rsidRPr="3DC0F952">
        <w:rPr>
          <w:color w:val="425254" w:themeColor="text1"/>
          <w:sz w:val="22"/>
          <w:szCs w:val="22"/>
          <w:lang w:val="cs-CZ"/>
        </w:rPr>
        <w:t xml:space="preserve">tradičně </w:t>
      </w:r>
      <w:r w:rsidRPr="3DC0F952">
        <w:rPr>
          <w:color w:val="425254" w:themeColor="text1"/>
          <w:sz w:val="22"/>
          <w:szCs w:val="22"/>
          <w:lang w:val="cs-CZ"/>
        </w:rPr>
        <w:t>tvoří největší podíl, anebo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Pr="3DC0F952">
        <w:rPr>
          <w:color w:val="425254" w:themeColor="text1"/>
          <w:sz w:val="22"/>
          <w:szCs w:val="22"/>
          <w:lang w:val="cs-CZ"/>
        </w:rPr>
        <w:t>z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Pr="3DC0F952">
        <w:rPr>
          <w:color w:val="425254" w:themeColor="text1"/>
          <w:sz w:val="22"/>
          <w:szCs w:val="22"/>
          <w:lang w:val="cs-CZ"/>
        </w:rPr>
        <w:t xml:space="preserve">Velké Británie a Francie. </w:t>
      </w:r>
      <w:r w:rsidR="479F4E22" w:rsidRPr="3DC0F952">
        <w:rPr>
          <w:color w:val="425254" w:themeColor="text1"/>
          <w:sz w:val="22"/>
          <w:szCs w:val="22"/>
          <w:lang w:val="cs-CZ"/>
        </w:rPr>
        <w:t>Dynamick</w:t>
      </w:r>
      <w:r w:rsidR="608DAC60" w:rsidRPr="3DC0F952">
        <w:rPr>
          <w:color w:val="425254" w:themeColor="text1"/>
          <w:sz w:val="22"/>
          <w:szCs w:val="22"/>
          <w:lang w:val="cs-CZ"/>
        </w:rPr>
        <w:t xml:space="preserve">ý růst </w:t>
      </w:r>
      <w:r w:rsidRPr="3DC0F952">
        <w:rPr>
          <w:color w:val="425254" w:themeColor="text1"/>
          <w:sz w:val="22"/>
          <w:szCs w:val="22"/>
          <w:lang w:val="cs-CZ"/>
        </w:rPr>
        <w:t>zazna</w:t>
      </w:r>
      <w:r w:rsidR="608DAC60" w:rsidRPr="3DC0F952">
        <w:rPr>
          <w:color w:val="425254" w:themeColor="text1"/>
          <w:sz w:val="22"/>
          <w:szCs w:val="22"/>
          <w:lang w:val="cs-CZ"/>
        </w:rPr>
        <w:t xml:space="preserve">menali </w:t>
      </w:r>
      <w:r w:rsidRPr="3DC0F952">
        <w:rPr>
          <w:color w:val="425254" w:themeColor="text1"/>
          <w:sz w:val="22"/>
          <w:szCs w:val="22"/>
          <w:lang w:val="cs-CZ"/>
        </w:rPr>
        <w:t>také američtí turisté, kteří se díky o</w:t>
      </w:r>
      <w:r w:rsidR="7144CB15" w:rsidRPr="3DC0F952">
        <w:rPr>
          <w:color w:val="425254" w:themeColor="text1"/>
          <w:sz w:val="22"/>
          <w:szCs w:val="22"/>
          <w:lang w:val="cs-CZ"/>
        </w:rPr>
        <w:t>bno</w:t>
      </w:r>
      <w:r w:rsidRPr="3DC0F952">
        <w:rPr>
          <w:color w:val="425254" w:themeColor="text1"/>
          <w:sz w:val="22"/>
          <w:szCs w:val="22"/>
          <w:lang w:val="cs-CZ"/>
        </w:rPr>
        <w:t xml:space="preserve">vení dálkového cestování vrací do oblíbených destinací včetně Prahy. Zajímavým trendem je </w:t>
      </w:r>
      <w:r w:rsidR="608DAC60" w:rsidRPr="3DC0F952">
        <w:rPr>
          <w:color w:val="425254" w:themeColor="text1"/>
          <w:sz w:val="22"/>
          <w:szCs w:val="22"/>
          <w:lang w:val="cs-CZ"/>
        </w:rPr>
        <w:t>zvyšující se</w:t>
      </w:r>
      <w:r w:rsidRPr="3DC0F952">
        <w:rPr>
          <w:color w:val="425254" w:themeColor="text1"/>
          <w:sz w:val="22"/>
          <w:szCs w:val="22"/>
          <w:lang w:val="cs-CZ"/>
        </w:rPr>
        <w:t xml:space="preserve"> zájem návštěvníků ze zemí Perského zálivu, kteří se stále více zaměřují na luxusní a wellness pobyty. </w:t>
      </w:r>
      <w:r w:rsidR="39266528" w:rsidRPr="3DC0F952">
        <w:rPr>
          <w:color w:val="425254" w:themeColor="text1"/>
          <w:sz w:val="22"/>
          <w:szCs w:val="22"/>
          <w:lang w:val="cs-CZ"/>
        </w:rPr>
        <w:t>Konkrétní data za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="39266528" w:rsidRPr="3DC0F952">
        <w:rPr>
          <w:color w:val="425254" w:themeColor="text1"/>
          <w:sz w:val="22"/>
          <w:szCs w:val="22"/>
          <w:lang w:val="cs-CZ"/>
        </w:rPr>
        <w:t xml:space="preserve">rok </w:t>
      </w:r>
      <w:r w:rsidR="1B4F74D3" w:rsidRPr="3DC0F952">
        <w:rPr>
          <w:color w:val="425254" w:themeColor="text1"/>
          <w:sz w:val="22"/>
          <w:szCs w:val="22"/>
          <w:lang w:val="cs-CZ"/>
        </w:rPr>
        <w:t>2024</w:t>
      </w:r>
      <w:r w:rsidRPr="3DC0F952">
        <w:rPr>
          <w:color w:val="425254" w:themeColor="text1"/>
          <w:sz w:val="22"/>
          <w:szCs w:val="22"/>
          <w:lang w:val="cs-CZ"/>
        </w:rPr>
        <w:t xml:space="preserve"> ukazují, že</w:t>
      </w:r>
      <w:r w:rsidR="45CAACD1" w:rsidRPr="3DC0F952">
        <w:rPr>
          <w:color w:val="425254" w:themeColor="text1"/>
          <w:sz w:val="22"/>
          <w:szCs w:val="22"/>
          <w:lang w:val="cs-CZ"/>
        </w:rPr>
        <w:t xml:space="preserve"> </w:t>
      </w:r>
      <w:r w:rsidR="0CBF8EA1" w:rsidRPr="3DC0F952">
        <w:rPr>
          <w:color w:val="425254" w:themeColor="text1"/>
          <w:sz w:val="22"/>
          <w:szCs w:val="22"/>
          <w:lang w:val="cs-CZ"/>
        </w:rPr>
        <w:t xml:space="preserve">k </w:t>
      </w:r>
      <w:r w:rsidR="1B4F74D3" w:rsidRPr="3DC0F952">
        <w:rPr>
          <w:color w:val="425254" w:themeColor="text1"/>
          <w:sz w:val="22"/>
          <w:szCs w:val="22"/>
          <w:lang w:val="cs-CZ"/>
        </w:rPr>
        <w:t>největší</w:t>
      </w:r>
      <w:r w:rsidR="5B84B38D" w:rsidRPr="3DC0F952">
        <w:rPr>
          <w:color w:val="425254" w:themeColor="text1"/>
          <w:sz w:val="22"/>
          <w:szCs w:val="22"/>
          <w:lang w:val="cs-CZ"/>
        </w:rPr>
        <w:t>mu</w:t>
      </w:r>
      <w:r w:rsidR="1B4F74D3" w:rsidRPr="3DC0F952">
        <w:rPr>
          <w:color w:val="425254" w:themeColor="text1"/>
          <w:sz w:val="22"/>
          <w:szCs w:val="22"/>
          <w:lang w:val="cs-CZ"/>
        </w:rPr>
        <w:t xml:space="preserve"> </w:t>
      </w:r>
      <w:r w:rsidR="7D8876B1" w:rsidRPr="3DC0F952">
        <w:rPr>
          <w:color w:val="425254" w:themeColor="text1"/>
          <w:sz w:val="22"/>
          <w:szCs w:val="22"/>
          <w:lang w:val="cs-CZ"/>
        </w:rPr>
        <w:t>oživení</w:t>
      </w:r>
      <w:r w:rsidR="1B4F74D3" w:rsidRPr="3DC0F952">
        <w:rPr>
          <w:color w:val="425254" w:themeColor="text1"/>
          <w:sz w:val="22"/>
          <w:szCs w:val="22"/>
          <w:lang w:val="cs-CZ"/>
        </w:rPr>
        <w:t xml:space="preserve"> </w:t>
      </w:r>
      <w:r w:rsidR="00086AA1">
        <w:rPr>
          <w:color w:val="425254" w:themeColor="text1"/>
          <w:sz w:val="22"/>
          <w:szCs w:val="22"/>
          <w:lang w:val="cs-CZ"/>
        </w:rPr>
        <w:t xml:space="preserve">oproti roku 2019 </w:t>
      </w:r>
      <w:r w:rsidR="161D92FE" w:rsidRPr="3DC0F952">
        <w:rPr>
          <w:color w:val="425254" w:themeColor="text1"/>
          <w:sz w:val="22"/>
          <w:szCs w:val="22"/>
          <w:lang w:val="cs-CZ"/>
        </w:rPr>
        <w:t xml:space="preserve">došlo </w:t>
      </w:r>
      <w:r w:rsidR="60728D5F" w:rsidRPr="3DC0F952">
        <w:rPr>
          <w:color w:val="425254" w:themeColor="text1"/>
          <w:sz w:val="22"/>
          <w:szCs w:val="22"/>
          <w:lang w:val="cs-CZ"/>
        </w:rPr>
        <w:t>u cestujících ze</w:t>
      </w:r>
      <w:r w:rsidRPr="3DC0F952">
        <w:rPr>
          <w:color w:val="425254" w:themeColor="text1"/>
          <w:sz w:val="22"/>
          <w:szCs w:val="22"/>
          <w:lang w:val="cs-CZ"/>
        </w:rPr>
        <w:t xml:space="preserve"> Spojen</w:t>
      </w:r>
      <w:r w:rsidR="6D0E66CA" w:rsidRPr="3DC0F952">
        <w:rPr>
          <w:color w:val="425254" w:themeColor="text1"/>
          <w:sz w:val="22"/>
          <w:szCs w:val="22"/>
          <w:lang w:val="cs-CZ"/>
        </w:rPr>
        <w:t>ých</w:t>
      </w:r>
      <w:r w:rsidRPr="3DC0F952">
        <w:rPr>
          <w:color w:val="425254" w:themeColor="text1"/>
          <w:sz w:val="22"/>
          <w:szCs w:val="22"/>
          <w:lang w:val="cs-CZ"/>
        </w:rPr>
        <w:t xml:space="preserve"> stát</w:t>
      </w:r>
      <w:r w:rsidR="2136FE17" w:rsidRPr="3DC0F952">
        <w:rPr>
          <w:color w:val="425254" w:themeColor="text1"/>
          <w:sz w:val="22"/>
          <w:szCs w:val="22"/>
          <w:lang w:val="cs-CZ"/>
        </w:rPr>
        <w:t>ů (+</w:t>
      </w:r>
      <w:r w:rsidRPr="3DC0F952">
        <w:rPr>
          <w:color w:val="425254" w:themeColor="text1"/>
          <w:sz w:val="22"/>
          <w:szCs w:val="22"/>
          <w:lang w:val="cs-CZ"/>
        </w:rPr>
        <w:t>18 %</w:t>
      </w:r>
      <w:r w:rsidR="284BF74E" w:rsidRPr="3DC0F952">
        <w:rPr>
          <w:color w:val="425254" w:themeColor="text1"/>
          <w:sz w:val="22"/>
          <w:szCs w:val="22"/>
          <w:lang w:val="cs-CZ"/>
        </w:rPr>
        <w:t>)</w:t>
      </w:r>
      <w:r w:rsidRPr="3DC0F952">
        <w:rPr>
          <w:color w:val="425254" w:themeColor="text1"/>
          <w:sz w:val="22"/>
          <w:szCs w:val="22"/>
          <w:lang w:val="cs-CZ"/>
        </w:rPr>
        <w:t>, Rakousk</w:t>
      </w:r>
      <w:r w:rsidR="27CA10A8" w:rsidRPr="3DC0F952">
        <w:rPr>
          <w:color w:val="425254" w:themeColor="text1"/>
          <w:sz w:val="22"/>
          <w:szCs w:val="22"/>
          <w:lang w:val="cs-CZ"/>
        </w:rPr>
        <w:t>a</w:t>
      </w:r>
      <w:r w:rsidRPr="3DC0F952">
        <w:rPr>
          <w:color w:val="425254" w:themeColor="text1"/>
          <w:sz w:val="22"/>
          <w:szCs w:val="22"/>
          <w:lang w:val="cs-CZ"/>
        </w:rPr>
        <w:t xml:space="preserve"> (+17 %) a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Pr="3DC0F952">
        <w:rPr>
          <w:color w:val="425254" w:themeColor="text1"/>
          <w:sz w:val="22"/>
          <w:szCs w:val="22"/>
          <w:lang w:val="cs-CZ"/>
        </w:rPr>
        <w:t>Španělsk</w:t>
      </w:r>
      <w:r w:rsidR="4AAEF09D" w:rsidRPr="3DC0F952">
        <w:rPr>
          <w:color w:val="425254" w:themeColor="text1"/>
          <w:sz w:val="22"/>
          <w:szCs w:val="22"/>
          <w:lang w:val="cs-CZ"/>
        </w:rPr>
        <w:t>a</w:t>
      </w:r>
      <w:r w:rsidRPr="3DC0F952">
        <w:rPr>
          <w:color w:val="425254" w:themeColor="text1"/>
          <w:sz w:val="22"/>
          <w:szCs w:val="22"/>
          <w:lang w:val="cs-CZ"/>
        </w:rPr>
        <w:t xml:space="preserve"> (+14 %). </w:t>
      </w:r>
      <w:r w:rsidR="7FE85D28" w:rsidRPr="3DC0F952">
        <w:rPr>
          <w:color w:val="425254" w:themeColor="text1"/>
          <w:sz w:val="22"/>
          <w:szCs w:val="22"/>
          <w:lang w:val="cs-CZ"/>
        </w:rPr>
        <w:t>Naopak o</w:t>
      </w:r>
      <w:r w:rsidRPr="3DC0F952">
        <w:rPr>
          <w:color w:val="425254" w:themeColor="text1"/>
          <w:sz w:val="22"/>
          <w:szCs w:val="22"/>
          <w:lang w:val="cs-CZ"/>
        </w:rPr>
        <w:t xml:space="preserve">pačný trend </w:t>
      </w:r>
      <w:r w:rsidR="4A10F38D" w:rsidRPr="3DC0F952">
        <w:rPr>
          <w:color w:val="425254" w:themeColor="text1"/>
          <w:sz w:val="22"/>
          <w:szCs w:val="22"/>
          <w:lang w:val="cs-CZ"/>
        </w:rPr>
        <w:t>je patrný u návštěvníků z</w:t>
      </w:r>
      <w:r w:rsidR="27A6B97A" w:rsidRPr="3DC0F952">
        <w:rPr>
          <w:color w:val="425254" w:themeColor="text1"/>
          <w:sz w:val="22"/>
          <w:szCs w:val="22"/>
          <w:lang w:val="cs-CZ"/>
        </w:rPr>
        <w:t>e</w:t>
      </w:r>
      <w:r w:rsidRPr="3DC0F952">
        <w:rPr>
          <w:color w:val="425254" w:themeColor="text1"/>
          <w:sz w:val="22"/>
          <w:szCs w:val="22"/>
          <w:lang w:val="cs-CZ"/>
        </w:rPr>
        <w:t xml:space="preserve"> severovýchodní Asie</w:t>
      </w:r>
      <w:r w:rsidR="717B41F5" w:rsidRPr="3DC0F952">
        <w:rPr>
          <w:color w:val="425254" w:themeColor="text1"/>
          <w:sz w:val="22"/>
          <w:szCs w:val="22"/>
          <w:lang w:val="cs-CZ"/>
        </w:rPr>
        <w:t>, kteří zaznamenali p</w:t>
      </w:r>
      <w:r w:rsidRPr="3DC0F952">
        <w:rPr>
          <w:color w:val="425254" w:themeColor="text1"/>
          <w:sz w:val="22"/>
          <w:szCs w:val="22"/>
          <w:lang w:val="cs-CZ"/>
        </w:rPr>
        <w:t>okles o 43 %</w:t>
      </w:r>
      <w:r w:rsidR="4AD9A1E9" w:rsidRPr="3DC0F952">
        <w:rPr>
          <w:color w:val="425254" w:themeColor="text1"/>
          <w:sz w:val="22"/>
          <w:szCs w:val="22"/>
          <w:lang w:val="cs-CZ"/>
        </w:rPr>
        <w:t xml:space="preserve"> a</w:t>
      </w:r>
      <w:r w:rsidRPr="3DC0F952">
        <w:rPr>
          <w:color w:val="425254" w:themeColor="text1"/>
          <w:sz w:val="22"/>
          <w:szCs w:val="22"/>
          <w:lang w:val="cs-CZ"/>
        </w:rPr>
        <w:t xml:space="preserve"> asijsko-pacifick</w:t>
      </w:r>
      <w:r w:rsidR="0DE478CF" w:rsidRPr="3DC0F952">
        <w:rPr>
          <w:color w:val="425254" w:themeColor="text1"/>
          <w:sz w:val="22"/>
          <w:szCs w:val="22"/>
          <w:lang w:val="cs-CZ"/>
        </w:rPr>
        <w:t>ého</w:t>
      </w:r>
      <w:r w:rsidRPr="3DC0F952">
        <w:rPr>
          <w:color w:val="425254" w:themeColor="text1"/>
          <w:sz w:val="22"/>
          <w:szCs w:val="22"/>
          <w:lang w:val="cs-CZ"/>
        </w:rPr>
        <w:t xml:space="preserve"> region</w:t>
      </w:r>
      <w:r w:rsidR="5D362FAF" w:rsidRPr="3DC0F952">
        <w:rPr>
          <w:color w:val="425254" w:themeColor="text1"/>
          <w:sz w:val="22"/>
          <w:szCs w:val="22"/>
          <w:lang w:val="cs-CZ"/>
        </w:rPr>
        <w:t>u (-</w:t>
      </w:r>
      <w:r w:rsidRPr="3DC0F952">
        <w:rPr>
          <w:color w:val="425254" w:themeColor="text1"/>
          <w:sz w:val="22"/>
          <w:szCs w:val="22"/>
          <w:lang w:val="cs-CZ"/>
        </w:rPr>
        <w:t>33 %</w:t>
      </w:r>
      <w:r w:rsidR="451E3A53" w:rsidRPr="3DC0F952">
        <w:rPr>
          <w:color w:val="425254" w:themeColor="text1"/>
          <w:sz w:val="22"/>
          <w:szCs w:val="22"/>
          <w:lang w:val="cs-CZ"/>
        </w:rPr>
        <w:t>)</w:t>
      </w:r>
      <w:r w:rsidRPr="3DC0F952">
        <w:rPr>
          <w:color w:val="425254" w:themeColor="text1"/>
          <w:sz w:val="22"/>
          <w:szCs w:val="22"/>
          <w:lang w:val="cs-CZ"/>
        </w:rPr>
        <w:t>.</w:t>
      </w:r>
    </w:p>
    <w:p w14:paraId="4FA2B1E6" w14:textId="77777777" w:rsidR="00175D64" w:rsidRPr="00175D64" w:rsidRDefault="00175D64" w:rsidP="00175D64">
      <w:pPr>
        <w:rPr>
          <w:color w:val="425254" w:themeColor="text1"/>
          <w:sz w:val="22"/>
          <w:szCs w:val="22"/>
          <w:lang w:val="cs-CZ"/>
        </w:rPr>
      </w:pPr>
    </w:p>
    <w:p w14:paraId="2F8FA942" w14:textId="77777777" w:rsidR="00175D64" w:rsidRPr="00175D64" w:rsidRDefault="00175D64" w:rsidP="00175D64">
      <w:pPr>
        <w:rPr>
          <w:b/>
          <w:bCs/>
          <w:color w:val="425254" w:themeColor="text1"/>
          <w:sz w:val="22"/>
          <w:szCs w:val="22"/>
          <w:lang w:val="cs-CZ"/>
        </w:rPr>
      </w:pPr>
      <w:r w:rsidRPr="00175D64">
        <w:rPr>
          <w:b/>
          <w:bCs/>
          <w:color w:val="425254" w:themeColor="text1"/>
          <w:sz w:val="22"/>
          <w:szCs w:val="22"/>
          <w:lang w:val="cs-CZ"/>
        </w:rPr>
        <w:t>Hotelový sektor vykazuje pozitivní růst</w:t>
      </w:r>
    </w:p>
    <w:p w14:paraId="1F32A8FA" w14:textId="0C3AB4C6" w:rsidR="00175D64" w:rsidRPr="00175D64" w:rsidRDefault="08D67B47" w:rsidP="00175D64">
      <w:pPr>
        <w:rPr>
          <w:color w:val="425254" w:themeColor="text1"/>
          <w:sz w:val="22"/>
          <w:szCs w:val="22"/>
          <w:lang w:val="cs-CZ"/>
        </w:rPr>
      </w:pPr>
      <w:r w:rsidRPr="3DC0F952">
        <w:rPr>
          <w:color w:val="425254" w:themeColor="text1"/>
          <w:sz w:val="22"/>
          <w:szCs w:val="22"/>
          <w:lang w:val="cs-CZ"/>
        </w:rPr>
        <w:t xml:space="preserve">Klíčové ukazatele </w:t>
      </w:r>
      <w:r w:rsidR="60D9DB49" w:rsidRPr="3DC0F952">
        <w:rPr>
          <w:color w:val="425254" w:themeColor="text1"/>
          <w:sz w:val="22"/>
          <w:szCs w:val="22"/>
          <w:lang w:val="cs-CZ"/>
        </w:rPr>
        <w:t>hotelové výkonnosti</w:t>
      </w:r>
      <w:r w:rsidRPr="3DC0F952">
        <w:rPr>
          <w:color w:val="425254" w:themeColor="text1"/>
          <w:sz w:val="22"/>
          <w:szCs w:val="22"/>
          <w:lang w:val="cs-CZ"/>
        </w:rPr>
        <w:t xml:space="preserve"> směřují ve většině </w:t>
      </w:r>
      <w:r w:rsidR="005754E1">
        <w:rPr>
          <w:color w:val="425254" w:themeColor="text1"/>
          <w:sz w:val="22"/>
          <w:szCs w:val="22"/>
          <w:lang w:val="cs-CZ"/>
        </w:rPr>
        <w:t>hlavních měst</w:t>
      </w:r>
      <w:r w:rsidR="005754E1" w:rsidRPr="3DC0F952">
        <w:rPr>
          <w:color w:val="425254" w:themeColor="text1"/>
          <w:sz w:val="22"/>
          <w:szCs w:val="22"/>
          <w:lang w:val="cs-CZ"/>
        </w:rPr>
        <w:t xml:space="preserve"> </w:t>
      </w:r>
      <w:r w:rsidR="437ADBC3" w:rsidRPr="3DC0F952">
        <w:rPr>
          <w:color w:val="425254" w:themeColor="text1"/>
          <w:sz w:val="22"/>
          <w:szCs w:val="22"/>
          <w:lang w:val="cs-CZ"/>
        </w:rPr>
        <w:t>CEE</w:t>
      </w:r>
      <w:r w:rsidR="005754E1">
        <w:rPr>
          <w:color w:val="425254" w:themeColor="text1"/>
          <w:sz w:val="22"/>
          <w:szCs w:val="22"/>
          <w:lang w:val="cs-CZ"/>
        </w:rPr>
        <w:t xml:space="preserve"> regionu</w:t>
      </w:r>
      <w:r w:rsidR="437ADBC3" w:rsidRPr="3DC0F952">
        <w:rPr>
          <w:color w:val="425254" w:themeColor="text1"/>
          <w:sz w:val="22"/>
          <w:szCs w:val="22"/>
          <w:lang w:val="cs-CZ"/>
        </w:rPr>
        <w:t xml:space="preserve"> </w:t>
      </w:r>
      <w:r w:rsidR="76769768" w:rsidRPr="3DC0F952">
        <w:rPr>
          <w:color w:val="425254" w:themeColor="text1"/>
          <w:sz w:val="22"/>
          <w:szCs w:val="22"/>
          <w:lang w:val="cs-CZ"/>
        </w:rPr>
        <w:t>nahoru</w:t>
      </w:r>
      <w:r w:rsidRPr="3DC0F952">
        <w:rPr>
          <w:color w:val="425254" w:themeColor="text1"/>
          <w:sz w:val="22"/>
          <w:szCs w:val="22"/>
          <w:lang w:val="cs-CZ"/>
        </w:rPr>
        <w:t>: průměrná obsazenost vloni meziročně vzrostla o 6 procentních bodů</w:t>
      </w:r>
      <w:r w:rsidR="37D29A25" w:rsidRPr="3DC0F952">
        <w:rPr>
          <w:color w:val="425254" w:themeColor="text1"/>
          <w:sz w:val="22"/>
          <w:szCs w:val="22"/>
          <w:lang w:val="cs-CZ"/>
        </w:rPr>
        <w:t>,</w:t>
      </w:r>
      <w:r w:rsidRPr="3DC0F952">
        <w:rPr>
          <w:color w:val="425254" w:themeColor="text1"/>
          <w:sz w:val="22"/>
          <w:szCs w:val="22"/>
          <w:lang w:val="cs-CZ"/>
        </w:rPr>
        <w:t xml:space="preserve"> a i letos se drží na vysokých hodnotách mezi </w:t>
      </w:r>
      <w:r w:rsidR="005754E1">
        <w:rPr>
          <w:color w:val="425254" w:themeColor="text1"/>
          <w:sz w:val="22"/>
          <w:szCs w:val="22"/>
          <w:lang w:val="cs-CZ"/>
        </w:rPr>
        <w:t>76 % ve Varšavě</w:t>
      </w:r>
      <w:r w:rsidR="005754E1" w:rsidRPr="3DC0F952">
        <w:rPr>
          <w:color w:val="425254" w:themeColor="text1"/>
          <w:sz w:val="22"/>
          <w:szCs w:val="22"/>
          <w:lang w:val="cs-CZ"/>
        </w:rPr>
        <w:t xml:space="preserve"> </w:t>
      </w:r>
      <w:r w:rsidRPr="3DC0F952">
        <w:rPr>
          <w:color w:val="425254" w:themeColor="text1"/>
          <w:sz w:val="22"/>
          <w:szCs w:val="22"/>
          <w:lang w:val="cs-CZ"/>
        </w:rPr>
        <w:t xml:space="preserve">až </w:t>
      </w:r>
      <w:r w:rsidR="005754E1">
        <w:rPr>
          <w:color w:val="425254" w:themeColor="text1"/>
          <w:sz w:val="22"/>
          <w:szCs w:val="22"/>
          <w:lang w:val="cs-CZ"/>
        </w:rPr>
        <w:t>82</w:t>
      </w:r>
      <w:r w:rsidRPr="3DC0F952">
        <w:rPr>
          <w:color w:val="425254" w:themeColor="text1"/>
          <w:sz w:val="22"/>
          <w:szCs w:val="22"/>
          <w:lang w:val="cs-CZ"/>
        </w:rPr>
        <w:t xml:space="preserve"> %</w:t>
      </w:r>
      <w:r w:rsidR="005754E1">
        <w:rPr>
          <w:color w:val="425254" w:themeColor="text1"/>
          <w:sz w:val="22"/>
          <w:szCs w:val="22"/>
          <w:lang w:val="cs-CZ"/>
        </w:rPr>
        <w:t xml:space="preserve"> v Praze</w:t>
      </w:r>
      <w:r w:rsidRPr="3DC0F952">
        <w:rPr>
          <w:color w:val="425254" w:themeColor="text1"/>
          <w:sz w:val="22"/>
          <w:szCs w:val="22"/>
          <w:lang w:val="cs-CZ"/>
        </w:rPr>
        <w:t xml:space="preserve">. Průměrná dosažená cena za pokoj </w:t>
      </w:r>
      <w:r w:rsidR="24CDC544" w:rsidRPr="3DC0F952">
        <w:rPr>
          <w:color w:val="425254" w:themeColor="text1"/>
          <w:sz w:val="22"/>
          <w:szCs w:val="22"/>
          <w:lang w:val="cs-CZ"/>
        </w:rPr>
        <w:t xml:space="preserve">(ADR) </w:t>
      </w:r>
      <w:r w:rsidR="6A11E679" w:rsidRPr="3DC0F952">
        <w:rPr>
          <w:color w:val="425254" w:themeColor="text1"/>
          <w:sz w:val="22"/>
          <w:szCs w:val="22"/>
          <w:lang w:val="cs-CZ"/>
        </w:rPr>
        <w:t xml:space="preserve">oproti roku 2019 </w:t>
      </w:r>
      <w:r w:rsidRPr="3DC0F952">
        <w:rPr>
          <w:color w:val="425254" w:themeColor="text1"/>
          <w:sz w:val="22"/>
          <w:szCs w:val="22"/>
          <w:lang w:val="cs-CZ"/>
        </w:rPr>
        <w:t>vzrostla o 25 %</w:t>
      </w:r>
      <w:r w:rsidR="629B2DCE" w:rsidRPr="3DC0F952">
        <w:rPr>
          <w:color w:val="425254" w:themeColor="text1"/>
          <w:sz w:val="22"/>
          <w:szCs w:val="22"/>
          <w:lang w:val="cs-CZ"/>
        </w:rPr>
        <w:t xml:space="preserve"> a průměrné příjmy z každého dostupného pokoje (RevPAR) </w:t>
      </w:r>
      <w:r w:rsidRPr="3DC0F952">
        <w:rPr>
          <w:color w:val="425254" w:themeColor="text1"/>
          <w:sz w:val="22"/>
          <w:szCs w:val="22"/>
          <w:lang w:val="cs-CZ"/>
        </w:rPr>
        <w:t>se zvýšily o 12 %.</w:t>
      </w:r>
      <w:r w:rsidR="1F538EC0" w:rsidRPr="3DC0F952">
        <w:rPr>
          <w:color w:val="425254" w:themeColor="text1"/>
          <w:sz w:val="22"/>
          <w:szCs w:val="22"/>
          <w:lang w:val="cs-CZ"/>
        </w:rPr>
        <w:t xml:space="preserve"> 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>„Hotelový sektor vykazuje pozoruhodnou odolnost a růstový potenciál. Vidíme nejen návrat poptávky, ale také kvalitativní změny – turisté více investují do zážitků, místních produktů a</w:t>
      </w:r>
      <w:r w:rsidR="0090202B">
        <w:rPr>
          <w:i/>
          <w:iCs/>
          <w:color w:val="425254" w:themeColor="text1"/>
          <w:sz w:val="22"/>
          <w:szCs w:val="22"/>
          <w:lang w:val="cs-CZ"/>
        </w:rPr>
        <w:t> 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 xml:space="preserve">prémiových služeb. </w:t>
      </w:r>
      <w:r w:rsidR="0627C083" w:rsidRPr="3DC0F952">
        <w:rPr>
          <w:i/>
          <w:iCs/>
          <w:color w:val="425254" w:themeColor="text1"/>
          <w:sz w:val="22"/>
          <w:szCs w:val="22"/>
          <w:lang w:val="cs-CZ"/>
        </w:rPr>
        <w:t xml:space="preserve">Jejich 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 xml:space="preserve">průměrné denní výdaje významně </w:t>
      </w:r>
      <w:r w:rsidR="36BCF56F" w:rsidRPr="3DC0F952">
        <w:rPr>
          <w:i/>
          <w:iCs/>
          <w:color w:val="425254" w:themeColor="text1"/>
          <w:sz w:val="22"/>
          <w:szCs w:val="22"/>
          <w:lang w:val="cs-CZ"/>
        </w:rPr>
        <w:t>vzrost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>ly, což přispívá k celkovým příjmům z</w:t>
      </w:r>
      <w:r w:rsidR="0090202B">
        <w:rPr>
          <w:i/>
          <w:iCs/>
          <w:color w:val="425254" w:themeColor="text1"/>
          <w:sz w:val="22"/>
          <w:szCs w:val="22"/>
          <w:lang w:val="cs-CZ"/>
        </w:rPr>
        <w:t> 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 xml:space="preserve">cestovního ruchu," </w:t>
      </w:r>
      <w:r w:rsidRPr="3DC0F952">
        <w:rPr>
          <w:color w:val="425254" w:themeColor="text1"/>
          <w:sz w:val="22"/>
          <w:szCs w:val="22"/>
          <w:lang w:val="cs-CZ"/>
        </w:rPr>
        <w:t xml:space="preserve">uvádí </w:t>
      </w:r>
      <w:r w:rsidRPr="3DC0F952">
        <w:rPr>
          <w:b/>
          <w:bCs/>
          <w:color w:val="425254" w:themeColor="text1"/>
          <w:sz w:val="22"/>
          <w:szCs w:val="22"/>
          <w:lang w:val="cs-CZ"/>
        </w:rPr>
        <w:t>Jakub</w:t>
      </w:r>
      <w:r w:rsidRPr="3DC0F952">
        <w:rPr>
          <w:color w:val="425254" w:themeColor="text1"/>
          <w:sz w:val="22"/>
          <w:szCs w:val="22"/>
          <w:lang w:val="cs-CZ"/>
        </w:rPr>
        <w:t xml:space="preserve"> </w:t>
      </w:r>
      <w:r w:rsidRPr="3DC0F952">
        <w:rPr>
          <w:b/>
          <w:bCs/>
          <w:color w:val="425254" w:themeColor="text1"/>
          <w:sz w:val="22"/>
          <w:szCs w:val="22"/>
          <w:lang w:val="cs-CZ"/>
        </w:rPr>
        <w:t>Stanislav</w:t>
      </w:r>
      <w:r w:rsidRPr="3DC0F952">
        <w:rPr>
          <w:color w:val="425254" w:themeColor="text1"/>
          <w:sz w:val="22"/>
          <w:szCs w:val="22"/>
          <w:lang w:val="cs-CZ"/>
        </w:rPr>
        <w:t>.</w:t>
      </w:r>
    </w:p>
    <w:p w14:paraId="75893EA8" w14:textId="77777777" w:rsidR="00175D64" w:rsidRPr="00175D64" w:rsidRDefault="00175D64" w:rsidP="00175D64">
      <w:pPr>
        <w:rPr>
          <w:color w:val="425254" w:themeColor="text1"/>
          <w:sz w:val="22"/>
          <w:szCs w:val="22"/>
          <w:lang w:val="cs-CZ"/>
        </w:rPr>
      </w:pPr>
    </w:p>
    <w:p w14:paraId="2D35A9F2" w14:textId="77777777" w:rsidR="00175D64" w:rsidRPr="00175D64" w:rsidRDefault="08D67B47" w:rsidP="00175D64">
      <w:pPr>
        <w:rPr>
          <w:b/>
          <w:bCs/>
          <w:color w:val="425254" w:themeColor="text1"/>
          <w:sz w:val="22"/>
          <w:szCs w:val="22"/>
          <w:lang w:val="cs-CZ"/>
        </w:rPr>
      </w:pPr>
      <w:r w:rsidRPr="3DC0F952">
        <w:rPr>
          <w:b/>
          <w:bCs/>
          <w:color w:val="425254" w:themeColor="text1"/>
          <w:sz w:val="22"/>
          <w:szCs w:val="22"/>
          <w:lang w:val="cs-CZ"/>
        </w:rPr>
        <w:t>Prémiové hotely získávají na síle</w:t>
      </w:r>
    </w:p>
    <w:p w14:paraId="7EC56694" w14:textId="2B65257F" w:rsidR="00175D64" w:rsidRPr="00175D64" w:rsidRDefault="49223405" w:rsidP="3DC0F952">
      <w:pPr>
        <w:rPr>
          <w:color w:val="425254" w:themeColor="text1"/>
          <w:sz w:val="22"/>
          <w:szCs w:val="22"/>
          <w:lang w:val="cs-CZ"/>
        </w:rPr>
      </w:pPr>
      <w:r w:rsidRPr="3DC0F952">
        <w:rPr>
          <w:color w:val="425254" w:themeColor="text1"/>
          <w:sz w:val="22"/>
          <w:szCs w:val="22"/>
          <w:lang w:val="cs-CZ"/>
        </w:rPr>
        <w:t>R</w:t>
      </w:r>
      <w:r w:rsidR="08D67B47" w:rsidRPr="3DC0F952">
        <w:rPr>
          <w:color w:val="425254" w:themeColor="text1"/>
          <w:sz w:val="22"/>
          <w:szCs w:val="22"/>
          <w:lang w:val="cs-CZ"/>
        </w:rPr>
        <w:t xml:space="preserve">egion střední, východní a jihovýchodní Evropy </w:t>
      </w:r>
      <w:r w:rsidR="5A19DE7E" w:rsidRPr="3DC0F952">
        <w:rPr>
          <w:color w:val="425254" w:themeColor="text1"/>
          <w:sz w:val="22"/>
          <w:szCs w:val="22"/>
          <w:lang w:val="cs-CZ"/>
        </w:rPr>
        <w:t xml:space="preserve">disponuje </w:t>
      </w:r>
      <w:r w:rsidR="08D67B47" w:rsidRPr="3DC0F952">
        <w:rPr>
          <w:color w:val="425254" w:themeColor="text1"/>
          <w:sz w:val="22"/>
          <w:szCs w:val="22"/>
          <w:lang w:val="cs-CZ"/>
        </w:rPr>
        <w:t>více než 450 tisíc</w:t>
      </w:r>
      <w:r w:rsidR="183CFEE0" w:rsidRPr="3DC0F952">
        <w:rPr>
          <w:color w:val="425254" w:themeColor="text1"/>
          <w:sz w:val="22"/>
          <w:szCs w:val="22"/>
          <w:lang w:val="cs-CZ"/>
        </w:rPr>
        <w:t>i</w:t>
      </w:r>
      <w:r w:rsidR="08D67B47" w:rsidRPr="3DC0F952">
        <w:rPr>
          <w:color w:val="425254" w:themeColor="text1"/>
          <w:sz w:val="22"/>
          <w:szCs w:val="22"/>
          <w:lang w:val="cs-CZ"/>
        </w:rPr>
        <w:t xml:space="preserve"> hotelových pokojů, přičemž </w:t>
      </w:r>
      <w:r w:rsidR="1C8AE7D1" w:rsidRPr="3DC0F952">
        <w:rPr>
          <w:color w:val="425254" w:themeColor="text1"/>
          <w:sz w:val="22"/>
          <w:szCs w:val="22"/>
          <w:lang w:val="cs-CZ"/>
        </w:rPr>
        <w:t>neu</w:t>
      </w:r>
      <w:r w:rsidR="08D67B47" w:rsidRPr="3DC0F952">
        <w:rPr>
          <w:color w:val="425254" w:themeColor="text1"/>
          <w:sz w:val="22"/>
          <w:szCs w:val="22"/>
          <w:lang w:val="cs-CZ"/>
        </w:rPr>
        <w:t xml:space="preserve">stále roste podíl prémiového a luxusního segmentu. Čtyřhvězdičkové hotely dnes představují 45 až 50 % </w:t>
      </w:r>
      <w:r w:rsidR="0BA22237" w:rsidRPr="3DC0F952">
        <w:rPr>
          <w:color w:val="425254" w:themeColor="text1"/>
          <w:sz w:val="22"/>
          <w:szCs w:val="22"/>
          <w:lang w:val="cs-CZ"/>
        </w:rPr>
        <w:t>z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="08D67B47" w:rsidRPr="3DC0F952">
        <w:rPr>
          <w:color w:val="425254" w:themeColor="text1"/>
          <w:sz w:val="22"/>
          <w:szCs w:val="22"/>
          <w:lang w:val="cs-CZ"/>
        </w:rPr>
        <w:t xml:space="preserve">celkové nabídky, zatímco pětihvězdičkové hotely tvoří kolem 10 až 15 % s koncentrací především v hlavních městech a letoviskových destinacích. Tříhvězdičkové nemovitosti </w:t>
      </w:r>
      <w:r w:rsidR="0D5A42D4" w:rsidRPr="3DC0F952">
        <w:rPr>
          <w:color w:val="425254" w:themeColor="text1"/>
          <w:sz w:val="22"/>
          <w:szCs w:val="22"/>
          <w:lang w:val="cs-CZ"/>
        </w:rPr>
        <w:t xml:space="preserve">i </w:t>
      </w:r>
      <w:r w:rsidR="08D67B47" w:rsidRPr="3DC0F952">
        <w:rPr>
          <w:color w:val="425254" w:themeColor="text1"/>
          <w:sz w:val="22"/>
          <w:szCs w:val="22"/>
          <w:lang w:val="cs-CZ"/>
        </w:rPr>
        <w:t xml:space="preserve">nadále dominují </w:t>
      </w:r>
      <w:r w:rsidR="265C2BB0" w:rsidRPr="3DC0F952">
        <w:rPr>
          <w:color w:val="425254" w:themeColor="text1"/>
          <w:sz w:val="22"/>
          <w:szCs w:val="22"/>
          <w:lang w:val="cs-CZ"/>
        </w:rPr>
        <w:t xml:space="preserve">menším městům </w:t>
      </w:r>
      <w:r w:rsidR="08D67B47" w:rsidRPr="3DC0F952">
        <w:rPr>
          <w:color w:val="425254" w:themeColor="text1"/>
          <w:sz w:val="22"/>
          <w:szCs w:val="22"/>
          <w:lang w:val="cs-CZ"/>
        </w:rPr>
        <w:t>a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="08D67B47" w:rsidRPr="3DC0F952">
        <w:rPr>
          <w:color w:val="425254" w:themeColor="text1"/>
          <w:sz w:val="22"/>
          <w:szCs w:val="22"/>
          <w:lang w:val="cs-CZ"/>
        </w:rPr>
        <w:t>venkovský</w:t>
      </w:r>
      <w:r w:rsidR="6320331A" w:rsidRPr="3DC0F952">
        <w:rPr>
          <w:color w:val="425254" w:themeColor="text1"/>
          <w:sz w:val="22"/>
          <w:szCs w:val="22"/>
          <w:lang w:val="cs-CZ"/>
        </w:rPr>
        <w:t>m</w:t>
      </w:r>
      <w:r w:rsidR="08D67B47" w:rsidRPr="3DC0F952">
        <w:rPr>
          <w:color w:val="425254" w:themeColor="text1"/>
          <w:sz w:val="22"/>
          <w:szCs w:val="22"/>
          <w:lang w:val="cs-CZ"/>
        </w:rPr>
        <w:t xml:space="preserve"> oblaste</w:t>
      </w:r>
      <w:r w:rsidR="62A0488C" w:rsidRPr="3DC0F952">
        <w:rPr>
          <w:color w:val="425254" w:themeColor="text1"/>
          <w:sz w:val="22"/>
          <w:szCs w:val="22"/>
          <w:lang w:val="cs-CZ"/>
        </w:rPr>
        <w:t>m</w:t>
      </w:r>
      <w:r w:rsidR="08D67B47" w:rsidRPr="3DC0F952">
        <w:rPr>
          <w:color w:val="425254" w:themeColor="text1"/>
          <w:sz w:val="22"/>
          <w:szCs w:val="22"/>
          <w:lang w:val="cs-CZ"/>
        </w:rPr>
        <w:t xml:space="preserve">, postupně však ztrácejí ve prospěch vyšších kategorií. </w:t>
      </w:r>
      <w:r w:rsidR="00BD61C9" w:rsidRPr="00BD61C9">
        <w:rPr>
          <w:color w:val="425254" w:themeColor="text1"/>
          <w:sz w:val="22"/>
          <w:szCs w:val="22"/>
          <w:lang w:val="cs-CZ"/>
        </w:rPr>
        <w:t xml:space="preserve">Ačkoliv standardní pokoje stále </w:t>
      </w:r>
      <w:r w:rsidR="00BD61C9">
        <w:rPr>
          <w:color w:val="425254" w:themeColor="text1"/>
          <w:sz w:val="22"/>
          <w:szCs w:val="22"/>
          <w:lang w:val="cs-CZ"/>
        </w:rPr>
        <w:t>tvoří většinu nabídky, je zřejmý v</w:t>
      </w:r>
      <w:r w:rsidR="00BD61C9" w:rsidRPr="00BD61C9">
        <w:rPr>
          <w:color w:val="425254" w:themeColor="text1"/>
          <w:sz w:val="22"/>
          <w:szCs w:val="22"/>
          <w:lang w:val="cs-CZ"/>
        </w:rPr>
        <w:t>ýrazný nárůst poptávky po apartmánech, rodinných pokojích a ubytovacích jednotkách pro dlouhodobější pobyty</w:t>
      </w:r>
      <w:r w:rsidR="1B2BEF27" w:rsidRPr="3DC0F952">
        <w:rPr>
          <w:color w:val="425254" w:themeColor="text1"/>
          <w:sz w:val="22"/>
          <w:szCs w:val="22"/>
          <w:lang w:val="cs-CZ"/>
        </w:rPr>
        <w:t>, kter</w:t>
      </w:r>
      <w:r w:rsidR="1CB38C5F" w:rsidRPr="3DC0F952">
        <w:rPr>
          <w:color w:val="425254" w:themeColor="text1"/>
          <w:sz w:val="22"/>
          <w:szCs w:val="22"/>
          <w:lang w:val="cs-CZ"/>
        </w:rPr>
        <w:t>é</w:t>
      </w:r>
      <w:r w:rsidR="1B2BEF27" w:rsidRPr="3DC0F952">
        <w:rPr>
          <w:color w:val="425254" w:themeColor="text1"/>
          <w:sz w:val="22"/>
          <w:szCs w:val="22"/>
          <w:lang w:val="cs-CZ"/>
        </w:rPr>
        <w:t xml:space="preserve"> investoři postupně vycházejí vstříc</w:t>
      </w:r>
      <w:r w:rsidR="08D67B47" w:rsidRPr="3DC0F952">
        <w:rPr>
          <w:color w:val="425254" w:themeColor="text1"/>
          <w:sz w:val="22"/>
          <w:szCs w:val="22"/>
          <w:lang w:val="cs-CZ"/>
        </w:rPr>
        <w:t>.</w:t>
      </w:r>
    </w:p>
    <w:p w14:paraId="75FD2869" w14:textId="77777777" w:rsidR="00175D64" w:rsidRPr="00175D64" w:rsidRDefault="00175D64" w:rsidP="00175D64">
      <w:pPr>
        <w:rPr>
          <w:color w:val="425254" w:themeColor="text1"/>
          <w:sz w:val="22"/>
          <w:szCs w:val="22"/>
          <w:lang w:val="cs-CZ"/>
        </w:rPr>
      </w:pPr>
    </w:p>
    <w:p w14:paraId="0C042CAC" w14:textId="10323FC6" w:rsidR="00175D64" w:rsidRPr="00175D64" w:rsidRDefault="08D67B47" w:rsidP="00175D64">
      <w:pPr>
        <w:rPr>
          <w:color w:val="425254" w:themeColor="text1"/>
          <w:sz w:val="22"/>
          <w:szCs w:val="22"/>
          <w:lang w:val="cs-CZ"/>
        </w:rPr>
      </w:pPr>
      <w:r w:rsidRPr="3DC0F952">
        <w:rPr>
          <w:i/>
          <w:iCs/>
          <w:color w:val="425254" w:themeColor="text1"/>
          <w:sz w:val="22"/>
          <w:szCs w:val="22"/>
          <w:lang w:val="cs-CZ"/>
        </w:rPr>
        <w:lastRenderedPageBreak/>
        <w:t>„Region</w:t>
      </w:r>
      <w:r w:rsidR="00BD61C9">
        <w:rPr>
          <w:i/>
          <w:iCs/>
          <w:color w:val="425254" w:themeColor="text1"/>
          <w:sz w:val="22"/>
          <w:szCs w:val="22"/>
          <w:lang w:val="cs-CZ"/>
        </w:rPr>
        <w:t xml:space="preserve"> CEE a SEE 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 xml:space="preserve">je svědkem stabilní expanze jak v počtu, tak v kvalitě hotelových pokojů s pozoruhodným důrazem na čtyřhvězdičkové a pětihvězdičkové projekty. V současnosti se v různých stupních přípravy nachází na 300 </w:t>
      </w:r>
      <w:r w:rsidR="1B03EAA3" w:rsidRPr="3DC0F952">
        <w:rPr>
          <w:i/>
          <w:iCs/>
          <w:color w:val="425254" w:themeColor="text1"/>
          <w:sz w:val="22"/>
          <w:szCs w:val="22"/>
          <w:lang w:val="cs-CZ"/>
        </w:rPr>
        <w:t>hotel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>ů. Nová výstavba se stále více zaměřuje na udržitelnost, přestavby historických budov a komplexní projekty, které spojují ubytování s obchody, bydlením a sdílenými pracovními prostory,"</w:t>
      </w:r>
      <w:r w:rsidRPr="3DC0F952">
        <w:rPr>
          <w:color w:val="425254" w:themeColor="text1"/>
          <w:sz w:val="22"/>
          <w:szCs w:val="22"/>
          <w:lang w:val="cs-CZ"/>
        </w:rPr>
        <w:t xml:space="preserve"> popisuje </w:t>
      </w:r>
      <w:r w:rsidRPr="3DC0F952">
        <w:rPr>
          <w:b/>
          <w:bCs/>
          <w:color w:val="425254" w:themeColor="text1"/>
          <w:sz w:val="22"/>
          <w:szCs w:val="22"/>
          <w:lang w:val="cs-CZ"/>
        </w:rPr>
        <w:t>Stanislav</w:t>
      </w:r>
      <w:r w:rsidRPr="3DC0F952">
        <w:rPr>
          <w:color w:val="425254" w:themeColor="text1"/>
          <w:sz w:val="22"/>
          <w:szCs w:val="22"/>
          <w:lang w:val="cs-CZ"/>
        </w:rPr>
        <w:t>.</w:t>
      </w:r>
    </w:p>
    <w:p w14:paraId="173284F3" w14:textId="77777777" w:rsidR="00175D64" w:rsidRPr="00175D64" w:rsidRDefault="00175D64" w:rsidP="00175D64">
      <w:pPr>
        <w:rPr>
          <w:color w:val="425254" w:themeColor="text1"/>
          <w:sz w:val="22"/>
          <w:szCs w:val="22"/>
          <w:lang w:val="cs-CZ"/>
        </w:rPr>
      </w:pPr>
    </w:p>
    <w:p w14:paraId="0823162D" w14:textId="77777777" w:rsidR="00175D64" w:rsidRPr="00175D64" w:rsidRDefault="00175D64" w:rsidP="00175D64">
      <w:pPr>
        <w:rPr>
          <w:b/>
          <w:bCs/>
          <w:color w:val="425254" w:themeColor="text1"/>
          <w:sz w:val="22"/>
          <w:szCs w:val="22"/>
          <w:lang w:val="cs-CZ"/>
        </w:rPr>
      </w:pPr>
      <w:r w:rsidRPr="00175D64">
        <w:rPr>
          <w:b/>
          <w:bCs/>
          <w:color w:val="425254" w:themeColor="text1"/>
          <w:sz w:val="22"/>
          <w:szCs w:val="22"/>
          <w:lang w:val="cs-CZ"/>
        </w:rPr>
        <w:t>Investice do hotelů rostou, Česko vede region</w:t>
      </w:r>
    </w:p>
    <w:p w14:paraId="5564D855" w14:textId="76F2D971" w:rsidR="00175D64" w:rsidRPr="00175D64" w:rsidRDefault="00857A81" w:rsidP="00175D64">
      <w:pPr>
        <w:rPr>
          <w:color w:val="425254" w:themeColor="text1"/>
          <w:sz w:val="22"/>
          <w:szCs w:val="22"/>
          <w:lang w:val="cs-CZ"/>
        </w:rPr>
      </w:pPr>
      <w:r w:rsidRPr="005754E1">
        <w:rPr>
          <w:color w:val="425254" w:themeColor="text1"/>
          <w:sz w:val="22"/>
          <w:szCs w:val="22"/>
          <w:lang w:val="cs-CZ"/>
        </w:rPr>
        <w:t>Od roku 2023 pozorujeme návrat investiční aktivity v hotelovém sektoru.</w:t>
      </w:r>
      <w:r w:rsidR="005754E1">
        <w:rPr>
          <w:color w:val="425254" w:themeColor="text1"/>
          <w:sz w:val="22"/>
          <w:szCs w:val="22"/>
          <w:lang w:val="cs-CZ"/>
        </w:rPr>
        <w:t xml:space="preserve"> „</w:t>
      </w:r>
      <w:r>
        <w:rPr>
          <w:i/>
          <w:iCs/>
          <w:color w:val="425254" w:themeColor="text1"/>
          <w:sz w:val="22"/>
          <w:szCs w:val="22"/>
          <w:lang w:val="cs-CZ"/>
        </w:rPr>
        <w:t>Vl</w:t>
      </w:r>
      <w:r w:rsidR="005754E1">
        <w:rPr>
          <w:i/>
          <w:iCs/>
          <w:color w:val="425254" w:themeColor="text1"/>
          <w:sz w:val="22"/>
          <w:szCs w:val="22"/>
          <w:lang w:val="cs-CZ"/>
        </w:rPr>
        <w:t>o</w:t>
      </w:r>
      <w:r>
        <w:rPr>
          <w:i/>
          <w:iCs/>
          <w:color w:val="425254" w:themeColor="text1"/>
          <w:sz w:val="22"/>
          <w:szCs w:val="22"/>
          <w:lang w:val="cs-CZ"/>
        </w:rPr>
        <w:t>ni i</w:t>
      </w:r>
      <w:r w:rsidR="08D67B47" w:rsidRPr="3DC0F952">
        <w:rPr>
          <w:i/>
          <w:iCs/>
          <w:color w:val="425254" w:themeColor="text1"/>
          <w:sz w:val="22"/>
          <w:szCs w:val="22"/>
          <w:lang w:val="cs-CZ"/>
        </w:rPr>
        <w:t xml:space="preserve">nvestiční objemy v </w:t>
      </w:r>
      <w:r w:rsidR="5BAB364E" w:rsidRPr="3DC0F952">
        <w:rPr>
          <w:i/>
          <w:iCs/>
          <w:color w:val="425254" w:themeColor="text1"/>
          <w:sz w:val="22"/>
          <w:szCs w:val="22"/>
          <w:lang w:val="cs-CZ"/>
        </w:rPr>
        <w:t xml:space="preserve">regionu CEE </w:t>
      </w:r>
      <w:r w:rsidR="08D67B47" w:rsidRPr="3DC0F952">
        <w:rPr>
          <w:i/>
          <w:iCs/>
          <w:color w:val="425254" w:themeColor="text1"/>
          <w:sz w:val="22"/>
          <w:szCs w:val="22"/>
          <w:lang w:val="cs-CZ"/>
        </w:rPr>
        <w:t xml:space="preserve">meziročně vzrostly o 12 %, přičemž tato pozitivní dynamika pokračuje i letos. </w:t>
      </w:r>
      <w:r w:rsidR="1A7DAE11" w:rsidRPr="3DC0F952">
        <w:rPr>
          <w:i/>
          <w:iCs/>
          <w:color w:val="425254" w:themeColor="text1"/>
          <w:sz w:val="22"/>
          <w:szCs w:val="22"/>
          <w:lang w:val="cs-CZ"/>
        </w:rPr>
        <w:t>Jenom v</w:t>
      </w:r>
      <w:r w:rsidR="08D67B47" w:rsidRPr="3DC0F952">
        <w:rPr>
          <w:i/>
          <w:iCs/>
          <w:color w:val="425254" w:themeColor="text1"/>
          <w:sz w:val="22"/>
          <w:szCs w:val="22"/>
          <w:lang w:val="cs-CZ"/>
        </w:rPr>
        <w:t xml:space="preserve"> prvním čtvrtletí 2025 byly realizovány</w:t>
      </w:r>
      <w:r w:rsidR="038857FD" w:rsidRPr="3DC0F952">
        <w:rPr>
          <w:i/>
          <w:iCs/>
          <w:color w:val="425254" w:themeColor="text1"/>
          <w:sz w:val="22"/>
          <w:szCs w:val="22"/>
          <w:lang w:val="cs-CZ"/>
        </w:rPr>
        <w:t xml:space="preserve"> hotelové</w:t>
      </w:r>
      <w:r w:rsidR="08D67B47" w:rsidRPr="3DC0F952">
        <w:rPr>
          <w:i/>
          <w:iCs/>
          <w:color w:val="425254" w:themeColor="text1"/>
          <w:sz w:val="22"/>
          <w:szCs w:val="22"/>
          <w:lang w:val="cs-CZ"/>
        </w:rPr>
        <w:t xml:space="preserve"> transakce v celkové výši 417 milionů eur, což představuje 63 % </w:t>
      </w:r>
      <w:r w:rsidR="57A7C049" w:rsidRPr="3DC0F952">
        <w:rPr>
          <w:i/>
          <w:iCs/>
          <w:color w:val="425254" w:themeColor="text1"/>
          <w:sz w:val="22"/>
          <w:szCs w:val="22"/>
          <w:lang w:val="cs-CZ"/>
        </w:rPr>
        <w:t>objemu za</w:t>
      </w:r>
      <w:r w:rsidR="738E0174" w:rsidRPr="3DC0F952">
        <w:rPr>
          <w:i/>
          <w:iCs/>
          <w:color w:val="425254" w:themeColor="text1"/>
          <w:sz w:val="22"/>
          <w:szCs w:val="22"/>
          <w:lang w:val="cs-CZ"/>
        </w:rPr>
        <w:t xml:space="preserve"> celý</w:t>
      </w:r>
      <w:r w:rsidR="57A7C049" w:rsidRPr="3DC0F952">
        <w:rPr>
          <w:i/>
          <w:iCs/>
          <w:color w:val="425254" w:themeColor="text1"/>
          <w:sz w:val="22"/>
          <w:szCs w:val="22"/>
          <w:lang w:val="cs-CZ"/>
        </w:rPr>
        <w:t xml:space="preserve"> loňský rok. A tuzemský trh </w:t>
      </w:r>
      <w:r w:rsidR="49538BE5" w:rsidRPr="3DC0F952">
        <w:rPr>
          <w:i/>
          <w:iCs/>
          <w:color w:val="425254" w:themeColor="text1"/>
          <w:sz w:val="22"/>
          <w:szCs w:val="22"/>
          <w:lang w:val="cs-CZ"/>
        </w:rPr>
        <w:t xml:space="preserve">na </w:t>
      </w:r>
      <w:r w:rsidR="1ABA39EF" w:rsidRPr="3DC0F952">
        <w:rPr>
          <w:i/>
          <w:iCs/>
          <w:color w:val="425254" w:themeColor="text1"/>
          <w:sz w:val="22"/>
          <w:szCs w:val="22"/>
          <w:lang w:val="cs-CZ"/>
        </w:rPr>
        <w:t xml:space="preserve">nich </w:t>
      </w:r>
      <w:r w:rsidR="49538BE5" w:rsidRPr="3DC0F952">
        <w:rPr>
          <w:i/>
          <w:iCs/>
          <w:color w:val="425254" w:themeColor="text1"/>
          <w:sz w:val="22"/>
          <w:szCs w:val="22"/>
          <w:lang w:val="cs-CZ"/>
        </w:rPr>
        <w:t>m</w:t>
      </w:r>
      <w:r w:rsidR="0FCC1F5B" w:rsidRPr="3DC0F952">
        <w:rPr>
          <w:i/>
          <w:iCs/>
          <w:color w:val="425254" w:themeColor="text1"/>
          <w:sz w:val="22"/>
          <w:szCs w:val="22"/>
          <w:lang w:val="cs-CZ"/>
        </w:rPr>
        <w:t>ěl výrazný</w:t>
      </w:r>
      <w:r w:rsidR="49538BE5" w:rsidRPr="3DC0F952">
        <w:rPr>
          <w:i/>
          <w:iCs/>
          <w:color w:val="425254" w:themeColor="text1"/>
          <w:sz w:val="22"/>
          <w:szCs w:val="22"/>
          <w:lang w:val="cs-CZ"/>
        </w:rPr>
        <w:t xml:space="preserve"> podíl</w:t>
      </w:r>
      <w:r w:rsidR="57A7C049" w:rsidRPr="3DC0F952">
        <w:rPr>
          <w:i/>
          <w:iCs/>
          <w:color w:val="425254" w:themeColor="text1"/>
          <w:sz w:val="22"/>
          <w:szCs w:val="22"/>
          <w:lang w:val="cs-CZ"/>
        </w:rPr>
        <w:t>,</w:t>
      </w:r>
      <w:r w:rsidR="6E9828BB" w:rsidRPr="3DC0F952">
        <w:rPr>
          <w:i/>
          <w:iCs/>
          <w:color w:val="425254" w:themeColor="text1"/>
          <w:sz w:val="22"/>
          <w:szCs w:val="22"/>
          <w:lang w:val="cs-CZ"/>
        </w:rPr>
        <w:t xml:space="preserve"> </w:t>
      </w:r>
      <w:r w:rsidR="57FA4199" w:rsidRPr="3DC0F952">
        <w:rPr>
          <w:i/>
          <w:iCs/>
          <w:color w:val="425254" w:themeColor="text1"/>
          <w:sz w:val="22"/>
          <w:szCs w:val="22"/>
          <w:lang w:val="cs-CZ"/>
        </w:rPr>
        <w:t>kdy</w:t>
      </w:r>
      <w:r w:rsidR="3BB4AD5A" w:rsidRPr="3DC0F952">
        <w:rPr>
          <w:i/>
          <w:iCs/>
          <w:color w:val="425254" w:themeColor="text1"/>
          <w:sz w:val="22"/>
          <w:szCs w:val="22"/>
          <w:lang w:val="cs-CZ"/>
        </w:rPr>
        <w:t>ž za ním s velkým odstupem následovalo Polsko a Maďarsko. Velkou roli v</w:t>
      </w:r>
      <w:r w:rsidR="0090202B">
        <w:rPr>
          <w:i/>
          <w:iCs/>
          <w:color w:val="425254" w:themeColor="text1"/>
          <w:sz w:val="22"/>
          <w:szCs w:val="22"/>
          <w:lang w:val="cs-CZ"/>
        </w:rPr>
        <w:t> </w:t>
      </w:r>
      <w:r w:rsidR="3BB4AD5A" w:rsidRPr="3DC0F952">
        <w:rPr>
          <w:i/>
          <w:iCs/>
          <w:color w:val="425254" w:themeColor="text1"/>
          <w:sz w:val="22"/>
          <w:szCs w:val="22"/>
          <w:lang w:val="cs-CZ"/>
        </w:rPr>
        <w:t>tom</w:t>
      </w:r>
      <w:r w:rsidR="0090202B">
        <w:rPr>
          <w:i/>
          <w:iCs/>
          <w:color w:val="425254" w:themeColor="text1"/>
          <w:sz w:val="22"/>
          <w:szCs w:val="22"/>
          <w:lang w:val="cs-CZ"/>
        </w:rPr>
        <w:t> </w:t>
      </w:r>
      <w:r w:rsidR="22C4790D" w:rsidRPr="3DC0F952">
        <w:rPr>
          <w:i/>
          <w:iCs/>
          <w:color w:val="425254" w:themeColor="text1"/>
          <w:sz w:val="22"/>
          <w:szCs w:val="22"/>
          <w:lang w:val="cs-CZ"/>
        </w:rPr>
        <w:t>sehrál</w:t>
      </w:r>
      <w:r w:rsidR="3BB4AD5A" w:rsidRPr="3DC0F952">
        <w:rPr>
          <w:i/>
          <w:iCs/>
          <w:color w:val="425254" w:themeColor="text1"/>
          <w:sz w:val="22"/>
          <w:szCs w:val="22"/>
          <w:lang w:val="cs-CZ"/>
        </w:rPr>
        <w:t xml:space="preserve"> prodej </w:t>
      </w:r>
      <w:r w:rsidR="6E9828BB" w:rsidRPr="3DC0F952">
        <w:rPr>
          <w:i/>
          <w:iCs/>
          <w:color w:val="425254" w:themeColor="text1"/>
          <w:sz w:val="22"/>
          <w:szCs w:val="22"/>
          <w:lang w:val="cs-CZ"/>
        </w:rPr>
        <w:t xml:space="preserve">Hotelu Hilton Prague, který </w:t>
      </w:r>
      <w:r w:rsidR="1A45EFAD" w:rsidRPr="3DC0F952">
        <w:rPr>
          <w:i/>
          <w:iCs/>
          <w:color w:val="425254" w:themeColor="text1"/>
          <w:sz w:val="22"/>
          <w:szCs w:val="22"/>
          <w:lang w:val="cs-CZ"/>
        </w:rPr>
        <w:t xml:space="preserve">se nám podařilo uskutečnit jako </w:t>
      </w:r>
      <w:r w:rsidR="6E9828BB" w:rsidRPr="3DC0F952">
        <w:rPr>
          <w:i/>
          <w:iCs/>
          <w:color w:val="425254" w:themeColor="text1"/>
          <w:sz w:val="22"/>
          <w:szCs w:val="22"/>
          <w:lang w:val="cs-CZ"/>
        </w:rPr>
        <w:t>historicky největší transakci v</w:t>
      </w:r>
      <w:r w:rsidR="0090202B">
        <w:rPr>
          <w:i/>
          <w:iCs/>
          <w:color w:val="425254" w:themeColor="text1"/>
          <w:sz w:val="22"/>
          <w:szCs w:val="22"/>
          <w:lang w:val="cs-CZ"/>
        </w:rPr>
        <w:t> </w:t>
      </w:r>
      <w:r w:rsidR="6E9828BB" w:rsidRPr="3DC0F952">
        <w:rPr>
          <w:i/>
          <w:iCs/>
          <w:color w:val="425254" w:themeColor="text1"/>
          <w:sz w:val="22"/>
          <w:szCs w:val="22"/>
          <w:lang w:val="cs-CZ"/>
        </w:rPr>
        <w:t>regionu</w:t>
      </w:r>
      <w:r w:rsidR="02B1B857" w:rsidRPr="3DC0F952">
        <w:rPr>
          <w:i/>
          <w:iCs/>
          <w:color w:val="425254" w:themeColor="text1"/>
          <w:sz w:val="22"/>
          <w:szCs w:val="22"/>
          <w:lang w:val="cs-CZ"/>
        </w:rPr>
        <w:t>,”</w:t>
      </w:r>
      <w:r w:rsidR="02B1B857" w:rsidRPr="3DC0F952">
        <w:rPr>
          <w:color w:val="425254" w:themeColor="text1"/>
          <w:sz w:val="22"/>
          <w:szCs w:val="22"/>
          <w:lang w:val="cs-CZ"/>
        </w:rPr>
        <w:t xml:space="preserve"> popisuje </w:t>
      </w:r>
      <w:r w:rsidR="02B1B857" w:rsidRPr="3DC0F952">
        <w:rPr>
          <w:b/>
          <w:bCs/>
          <w:color w:val="425254" w:themeColor="text1"/>
          <w:sz w:val="22"/>
          <w:szCs w:val="22"/>
          <w:lang w:val="cs-CZ"/>
        </w:rPr>
        <w:t>Stanislav</w:t>
      </w:r>
      <w:r w:rsidR="02B1B857" w:rsidRPr="3DC0F952">
        <w:rPr>
          <w:color w:val="425254" w:themeColor="text1"/>
          <w:sz w:val="22"/>
          <w:szCs w:val="22"/>
          <w:lang w:val="cs-CZ"/>
        </w:rPr>
        <w:t>.</w:t>
      </w:r>
    </w:p>
    <w:p w14:paraId="18CC170A" w14:textId="77777777" w:rsidR="00175D64" w:rsidRPr="00175D64" w:rsidRDefault="00175D64" w:rsidP="00175D64">
      <w:pPr>
        <w:rPr>
          <w:color w:val="425254" w:themeColor="text1"/>
          <w:sz w:val="22"/>
          <w:szCs w:val="22"/>
          <w:lang w:val="cs-CZ"/>
        </w:rPr>
      </w:pPr>
    </w:p>
    <w:p w14:paraId="689C8C29" w14:textId="2A060FA0" w:rsidR="00175D64" w:rsidRPr="00175D64" w:rsidRDefault="08D67B47" w:rsidP="00175D64">
      <w:pPr>
        <w:rPr>
          <w:color w:val="425254" w:themeColor="text1"/>
          <w:sz w:val="22"/>
          <w:szCs w:val="22"/>
          <w:lang w:val="cs-CZ"/>
        </w:rPr>
      </w:pPr>
      <w:r w:rsidRPr="3DC0F952">
        <w:rPr>
          <w:color w:val="425254" w:themeColor="text1"/>
          <w:sz w:val="22"/>
          <w:szCs w:val="22"/>
          <w:lang w:val="cs-CZ"/>
        </w:rPr>
        <w:t>Navzdory</w:t>
      </w:r>
      <w:r w:rsidR="00857A81">
        <w:rPr>
          <w:color w:val="425254" w:themeColor="text1"/>
          <w:sz w:val="22"/>
          <w:szCs w:val="22"/>
          <w:lang w:val="cs-CZ"/>
        </w:rPr>
        <w:t xml:space="preserve"> některým </w:t>
      </w:r>
      <w:r w:rsidRPr="3DC0F952">
        <w:rPr>
          <w:color w:val="425254" w:themeColor="text1"/>
          <w:sz w:val="22"/>
          <w:szCs w:val="22"/>
          <w:lang w:val="cs-CZ"/>
        </w:rPr>
        <w:t>výzvám</w:t>
      </w:r>
      <w:r w:rsidR="61211996" w:rsidRPr="3DC0F952">
        <w:rPr>
          <w:color w:val="425254" w:themeColor="text1"/>
          <w:sz w:val="22"/>
          <w:szCs w:val="22"/>
          <w:lang w:val="cs-CZ"/>
        </w:rPr>
        <w:t>,</w:t>
      </w:r>
      <w:r w:rsidRPr="3DC0F952">
        <w:rPr>
          <w:color w:val="425254" w:themeColor="text1"/>
          <w:sz w:val="22"/>
          <w:szCs w:val="22"/>
          <w:lang w:val="cs-CZ"/>
        </w:rPr>
        <w:t xml:space="preserve"> jako </w:t>
      </w:r>
      <w:r w:rsidR="411F6009" w:rsidRPr="3DC0F952">
        <w:rPr>
          <w:color w:val="425254" w:themeColor="text1"/>
          <w:sz w:val="22"/>
          <w:szCs w:val="22"/>
          <w:lang w:val="cs-CZ"/>
        </w:rPr>
        <w:t xml:space="preserve">jsou </w:t>
      </w:r>
      <w:r w:rsidRPr="3DC0F952">
        <w:rPr>
          <w:color w:val="425254" w:themeColor="text1"/>
          <w:sz w:val="22"/>
          <w:szCs w:val="22"/>
          <w:lang w:val="cs-CZ"/>
        </w:rPr>
        <w:t>inflace, nedostatek pracovních sil a geopolitické nejistoty</w:t>
      </w:r>
      <w:r w:rsidR="62D9808A" w:rsidRPr="3DC0F952">
        <w:rPr>
          <w:color w:val="425254" w:themeColor="text1"/>
          <w:sz w:val="22"/>
          <w:szCs w:val="22"/>
          <w:lang w:val="cs-CZ"/>
        </w:rPr>
        <w:t>,</w:t>
      </w:r>
      <w:r w:rsidRPr="3DC0F952">
        <w:rPr>
          <w:color w:val="425254" w:themeColor="text1"/>
          <w:sz w:val="22"/>
          <w:szCs w:val="22"/>
          <w:lang w:val="cs-CZ"/>
        </w:rPr>
        <w:t xml:space="preserve"> zůstává výhled pro</w:t>
      </w:r>
      <w:r w:rsidR="0090202B">
        <w:rPr>
          <w:color w:val="425254" w:themeColor="text1"/>
          <w:sz w:val="22"/>
          <w:szCs w:val="22"/>
          <w:lang w:val="cs-CZ"/>
        </w:rPr>
        <w:t> </w:t>
      </w:r>
      <w:r w:rsidRPr="3DC0F952">
        <w:rPr>
          <w:color w:val="425254" w:themeColor="text1"/>
          <w:sz w:val="22"/>
          <w:szCs w:val="22"/>
          <w:lang w:val="cs-CZ"/>
        </w:rPr>
        <w:t xml:space="preserve">hotelový trh v Praze </w:t>
      </w:r>
      <w:r w:rsidR="572ACAEA" w:rsidRPr="3DC0F952">
        <w:rPr>
          <w:color w:val="425254" w:themeColor="text1"/>
          <w:sz w:val="22"/>
          <w:szCs w:val="22"/>
          <w:lang w:val="cs-CZ"/>
        </w:rPr>
        <w:t>i celém</w:t>
      </w:r>
      <w:r w:rsidRPr="3DC0F952">
        <w:rPr>
          <w:color w:val="425254" w:themeColor="text1"/>
          <w:sz w:val="22"/>
          <w:szCs w:val="22"/>
          <w:lang w:val="cs-CZ"/>
        </w:rPr>
        <w:t xml:space="preserve"> regionu CEE</w:t>
      </w:r>
      <w:r w:rsidR="00857A81">
        <w:rPr>
          <w:color w:val="425254" w:themeColor="text1"/>
          <w:sz w:val="22"/>
          <w:szCs w:val="22"/>
          <w:lang w:val="cs-CZ"/>
        </w:rPr>
        <w:t xml:space="preserve"> a SEE</w:t>
      </w:r>
      <w:r w:rsidRPr="3DC0F952">
        <w:rPr>
          <w:color w:val="425254" w:themeColor="text1"/>
          <w:sz w:val="22"/>
          <w:szCs w:val="22"/>
          <w:lang w:val="cs-CZ"/>
        </w:rPr>
        <w:t xml:space="preserve"> optimistický. 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 xml:space="preserve">„Region </w:t>
      </w:r>
      <w:r w:rsidR="4071E195" w:rsidRPr="3DC0F952">
        <w:rPr>
          <w:i/>
          <w:iCs/>
          <w:color w:val="425254" w:themeColor="text1"/>
          <w:sz w:val="22"/>
          <w:szCs w:val="22"/>
          <w:lang w:val="cs-CZ"/>
        </w:rPr>
        <w:t xml:space="preserve">posledních pár let 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 xml:space="preserve">investuje do digitalizace, udržitelnosti a rozšiřování nabídky turistických služeb. Praha a další města jsou </w:t>
      </w:r>
      <w:r w:rsidR="019CAFF7" w:rsidRPr="3DC0F952">
        <w:rPr>
          <w:i/>
          <w:iCs/>
          <w:color w:val="425254" w:themeColor="text1"/>
          <w:sz w:val="22"/>
          <w:szCs w:val="22"/>
          <w:lang w:val="cs-CZ"/>
        </w:rPr>
        <w:t xml:space="preserve">tak díky tomu 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 xml:space="preserve">dobře připravena </w:t>
      </w:r>
      <w:r w:rsidR="3F0F6B8B" w:rsidRPr="3DC0F952">
        <w:rPr>
          <w:i/>
          <w:iCs/>
          <w:color w:val="425254" w:themeColor="text1"/>
          <w:sz w:val="22"/>
          <w:szCs w:val="22"/>
          <w:lang w:val="cs-CZ"/>
        </w:rPr>
        <w:t>využí</w:t>
      </w:r>
      <w:r w:rsidRPr="3DC0F952">
        <w:rPr>
          <w:i/>
          <w:iCs/>
          <w:color w:val="425254" w:themeColor="text1"/>
          <w:sz w:val="22"/>
          <w:szCs w:val="22"/>
          <w:lang w:val="cs-CZ"/>
        </w:rPr>
        <w:t>t nastartovaný růst,"</w:t>
      </w:r>
      <w:r w:rsidRPr="3DC0F952">
        <w:rPr>
          <w:color w:val="425254" w:themeColor="text1"/>
          <w:sz w:val="22"/>
          <w:szCs w:val="22"/>
          <w:lang w:val="cs-CZ"/>
        </w:rPr>
        <w:t xml:space="preserve"> uzavírá </w:t>
      </w:r>
      <w:r w:rsidRPr="3DC0F952">
        <w:rPr>
          <w:b/>
          <w:bCs/>
          <w:color w:val="425254" w:themeColor="text1"/>
          <w:sz w:val="22"/>
          <w:szCs w:val="22"/>
          <w:lang w:val="cs-CZ"/>
        </w:rPr>
        <w:t>Jakub Stanislav</w:t>
      </w:r>
      <w:r w:rsidRPr="3DC0F952">
        <w:rPr>
          <w:color w:val="425254" w:themeColor="text1"/>
          <w:sz w:val="22"/>
          <w:szCs w:val="22"/>
          <w:lang w:val="cs-CZ"/>
        </w:rPr>
        <w:t>.</w:t>
      </w:r>
    </w:p>
    <w:p w14:paraId="1EC945A1" w14:textId="3C288E5D" w:rsidR="00162C07" w:rsidRPr="007C1B28" w:rsidRDefault="00162C07" w:rsidP="00D92A6B">
      <w:pPr>
        <w:rPr>
          <w:sz w:val="22"/>
          <w:szCs w:val="22"/>
        </w:rPr>
      </w:pPr>
      <w: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92A6B" w:rsidRPr="007C1B28" w14:paraId="59A8C662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4C54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b/>
                <w:bCs/>
                <w:sz w:val="21"/>
                <w:szCs w:val="21"/>
              </w:rPr>
              <w:t>Kontakty:</w:t>
            </w:r>
            <w:r w:rsidRPr="007C1B28">
              <w:rPr>
                <w:sz w:val="21"/>
                <w:szCs w:val="21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125A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 </w:t>
            </w:r>
          </w:p>
        </w:tc>
      </w:tr>
      <w:tr w:rsidR="00D92A6B" w:rsidRPr="007C1B28" w14:paraId="03C64F84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8694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b/>
                <w:bCs/>
                <w:sz w:val="21"/>
                <w:szCs w:val="21"/>
              </w:rPr>
              <w:t>Crest Communications, a.s.</w:t>
            </w:r>
            <w:r w:rsidRPr="007C1B28">
              <w:rPr>
                <w:sz w:val="21"/>
                <w:szCs w:val="21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A199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 </w:t>
            </w:r>
          </w:p>
        </w:tc>
      </w:tr>
      <w:tr w:rsidR="00D92A6B" w:rsidRPr="007C1B28" w14:paraId="2BA34FB8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21C4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Denisa Kolaříková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397E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Kamila Čadková </w:t>
            </w:r>
          </w:p>
        </w:tc>
      </w:tr>
      <w:tr w:rsidR="00D92A6B" w:rsidRPr="007C1B28" w14:paraId="65E28DA6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217B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Account Manager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4B25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Account Director </w:t>
            </w:r>
          </w:p>
        </w:tc>
      </w:tr>
      <w:tr w:rsidR="00D92A6B" w:rsidRPr="007C1B28" w14:paraId="474413C5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16E3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T: +420 731 613 606    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C66E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T: +420 731 613 609 </w:t>
            </w:r>
          </w:p>
        </w:tc>
      </w:tr>
      <w:tr w:rsidR="00D92A6B" w:rsidRPr="007C1B28" w14:paraId="4B5CE4A1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540C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 xml:space="preserve">e-mail: </w:t>
            </w:r>
            <w:hyperlink r:id="rId11" w:tgtFrame="_blank" w:history="1">
              <w:r w:rsidRPr="007C1B28">
                <w:rPr>
                  <w:rStyle w:val="Hypertextovodkaz"/>
                  <w:sz w:val="21"/>
                  <w:szCs w:val="21"/>
                </w:rPr>
                <w:t>denisa.kolarikova@crestcom.cz</w:t>
              </w:r>
            </w:hyperlink>
            <w:r w:rsidRPr="007C1B28">
              <w:rPr>
                <w:sz w:val="21"/>
                <w:szCs w:val="21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FFDEB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 xml:space="preserve">e-mail: </w:t>
            </w:r>
            <w:hyperlink r:id="rId12" w:tgtFrame="_blank" w:history="1">
              <w:r w:rsidRPr="007C1B28">
                <w:rPr>
                  <w:rStyle w:val="Hypertextovodkaz"/>
                  <w:sz w:val="21"/>
                  <w:szCs w:val="21"/>
                </w:rPr>
                <w:t>kamila.cadkova@crestcom.cz</w:t>
              </w:r>
            </w:hyperlink>
            <w:r w:rsidRPr="007C1B28">
              <w:rPr>
                <w:sz w:val="21"/>
                <w:szCs w:val="21"/>
              </w:rPr>
              <w:t> </w:t>
            </w:r>
          </w:p>
        </w:tc>
      </w:tr>
      <w:tr w:rsidR="00D92A6B" w:rsidRPr="007C1B28" w14:paraId="7F201441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BE089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hyperlink r:id="rId13" w:tgtFrame="_blank" w:history="1">
              <w:r w:rsidRPr="007C1B28">
                <w:rPr>
                  <w:rStyle w:val="Hypertextovodkaz"/>
                  <w:sz w:val="21"/>
                  <w:szCs w:val="21"/>
                </w:rPr>
                <w:t>www.crestcom.cz</w:t>
              </w:r>
            </w:hyperlink>
            <w:r w:rsidRPr="007C1B28">
              <w:rPr>
                <w:sz w:val="21"/>
                <w:szCs w:val="21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BEC3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 </w:t>
            </w:r>
          </w:p>
        </w:tc>
      </w:tr>
    </w:tbl>
    <w:p w14:paraId="0CB60484" w14:textId="77777777" w:rsidR="00D92A6B" w:rsidRPr="007C1B28" w:rsidRDefault="00D92A6B" w:rsidP="00D92A6B">
      <w:pPr>
        <w:pStyle w:val="BodyCopy"/>
        <w:rPr>
          <w:sz w:val="21"/>
          <w:szCs w:val="21"/>
        </w:rPr>
      </w:pPr>
      <w:r w:rsidRPr="007C1B28">
        <w:rPr>
          <w:sz w:val="21"/>
          <w:szCs w:val="21"/>
        </w:rPr>
        <w:t> </w:t>
      </w:r>
    </w:p>
    <w:p w14:paraId="3DD7FC04" w14:textId="77777777" w:rsidR="00D92A6B" w:rsidRPr="007C1B28" w:rsidRDefault="00D92A6B" w:rsidP="00D92A6B">
      <w:pPr>
        <w:pStyle w:val="BodyCopy"/>
        <w:rPr>
          <w:sz w:val="21"/>
          <w:szCs w:val="21"/>
        </w:rPr>
      </w:pPr>
      <w:r w:rsidRPr="007C1B28">
        <w:rPr>
          <w:b/>
          <w:bCs/>
          <w:sz w:val="21"/>
          <w:szCs w:val="21"/>
        </w:rPr>
        <w:t>CBRE </w:t>
      </w:r>
      <w:r w:rsidRPr="007C1B28">
        <w:rPr>
          <w:sz w:val="21"/>
          <w:szCs w:val="21"/>
        </w:rPr>
        <w:t>  </w:t>
      </w:r>
    </w:p>
    <w:p w14:paraId="21EC0AE8" w14:textId="77777777" w:rsidR="00D92A6B" w:rsidRPr="007C1B28" w:rsidRDefault="00D92A6B" w:rsidP="00D92A6B">
      <w:pPr>
        <w:pStyle w:val="BodyCopy"/>
        <w:rPr>
          <w:sz w:val="21"/>
          <w:szCs w:val="21"/>
        </w:rPr>
      </w:pPr>
      <w:r w:rsidRPr="007C1B28">
        <w:rPr>
          <w:sz w:val="21"/>
          <w:szCs w:val="21"/>
        </w:rPr>
        <w:t xml:space="preserve">Ivana Procházková, Communication Specialist, +420 771 288 023, </w:t>
      </w:r>
      <w:hyperlink r:id="rId14" w:tgtFrame="_blank" w:history="1">
        <w:r w:rsidRPr="007C1B28">
          <w:rPr>
            <w:rStyle w:val="Hypertextovodkaz"/>
            <w:sz w:val="21"/>
            <w:szCs w:val="21"/>
          </w:rPr>
          <w:t>ivana.prochazkova@cbre.com</w:t>
        </w:r>
      </w:hyperlink>
      <w:r w:rsidRPr="007C1B28">
        <w:rPr>
          <w:sz w:val="21"/>
          <w:szCs w:val="21"/>
        </w:rPr>
        <w:t>    </w:t>
      </w:r>
    </w:p>
    <w:p w14:paraId="776B3DDF" w14:textId="77777777" w:rsidR="00D92A6B" w:rsidRPr="007C1B28" w:rsidRDefault="00D92A6B" w:rsidP="00D92A6B">
      <w:pPr>
        <w:pStyle w:val="BodyCopy"/>
        <w:rPr>
          <w:sz w:val="21"/>
          <w:szCs w:val="21"/>
        </w:rPr>
      </w:pPr>
      <w:r w:rsidRPr="007C1B28">
        <w:rPr>
          <w:sz w:val="21"/>
          <w:szCs w:val="21"/>
        </w:rPr>
        <w:t>CBRE Česká republika </w:t>
      </w:r>
      <w:hyperlink r:id="rId15" w:tgtFrame="_blank" w:history="1">
        <w:r w:rsidRPr="007C1B28">
          <w:rPr>
            <w:rStyle w:val="Hypertextovodkaz"/>
            <w:sz w:val="21"/>
            <w:szCs w:val="21"/>
          </w:rPr>
          <w:t>Facebook</w:t>
        </w:r>
      </w:hyperlink>
      <w:r w:rsidRPr="007C1B28">
        <w:rPr>
          <w:sz w:val="21"/>
          <w:szCs w:val="21"/>
        </w:rPr>
        <w:t xml:space="preserve">, </w:t>
      </w:r>
      <w:hyperlink r:id="rId16" w:tgtFrame="_blank" w:history="1">
        <w:r w:rsidRPr="007C1B28">
          <w:rPr>
            <w:rStyle w:val="Hypertextovodkaz"/>
            <w:sz w:val="21"/>
            <w:szCs w:val="21"/>
          </w:rPr>
          <w:t>LinkedIn</w:t>
        </w:r>
      </w:hyperlink>
      <w:r w:rsidRPr="007C1B28">
        <w:rPr>
          <w:sz w:val="21"/>
          <w:szCs w:val="21"/>
          <w:u w:val="single"/>
        </w:rPr>
        <w:t>,</w:t>
      </w:r>
      <w:r w:rsidRPr="007C1B28">
        <w:rPr>
          <w:sz w:val="21"/>
          <w:szCs w:val="21"/>
        </w:rPr>
        <w:t xml:space="preserve"> </w:t>
      </w:r>
      <w:hyperlink r:id="rId17" w:tgtFrame="_blank" w:history="1">
        <w:r w:rsidRPr="007C1B28">
          <w:rPr>
            <w:rStyle w:val="Hypertextovodkaz"/>
            <w:sz w:val="21"/>
            <w:szCs w:val="21"/>
          </w:rPr>
          <w:t>Instagram</w:t>
        </w:r>
      </w:hyperlink>
      <w:r w:rsidRPr="007C1B28">
        <w:rPr>
          <w:b/>
          <w:bCs/>
          <w:sz w:val="21"/>
          <w:szCs w:val="21"/>
        </w:rPr>
        <w:t> </w:t>
      </w:r>
      <w:r w:rsidRPr="007C1B28">
        <w:rPr>
          <w:sz w:val="21"/>
          <w:szCs w:val="21"/>
        </w:rPr>
        <w:t>  </w:t>
      </w:r>
    </w:p>
    <w:p w14:paraId="68317AD0" w14:textId="77777777" w:rsidR="00D92A6B" w:rsidRPr="007C1B28" w:rsidRDefault="00D92A6B" w:rsidP="00D92A6B">
      <w:pPr>
        <w:pStyle w:val="BodyCopy"/>
      </w:pPr>
      <w:r w:rsidRPr="007C1B28">
        <w:t>  </w:t>
      </w:r>
    </w:p>
    <w:p w14:paraId="227C0F0E" w14:textId="56E37C11" w:rsidR="00D92A6B" w:rsidRPr="007C1B28" w:rsidRDefault="00D92A6B" w:rsidP="00D92A6B">
      <w:pPr>
        <w:pStyle w:val="Boilerplate"/>
        <w:jc w:val="both"/>
        <w:rPr>
          <w:bCs/>
          <w:color w:val="808080" w:themeColor="background1" w:themeShade="80"/>
          <w:u w:val="single"/>
          <w:lang w:val="cs-CZ"/>
        </w:rPr>
      </w:pPr>
      <w:r w:rsidRPr="007C1B28">
        <w:rPr>
          <w:bCs/>
          <w:color w:val="808080" w:themeColor="background1" w:themeShade="80"/>
          <w:u w:val="single"/>
          <w:lang w:val="cs-CZ"/>
        </w:rPr>
        <w:t>O CBRE</w:t>
      </w:r>
    </w:p>
    <w:p w14:paraId="0C5A548C" w14:textId="2E8F9523" w:rsidR="00D92A6B" w:rsidRPr="007C1B28" w:rsidRDefault="00D92A6B" w:rsidP="00D92A6B">
      <w:pPr>
        <w:pStyle w:val="Boilerplate"/>
        <w:jc w:val="both"/>
        <w:rPr>
          <w:color w:val="808080" w:themeColor="background1" w:themeShade="80"/>
          <w:lang w:val="cs-CZ"/>
        </w:rPr>
      </w:pPr>
      <w:r w:rsidRPr="007C1B28">
        <w:rPr>
          <w:color w:val="808080" w:themeColor="background1" w:themeShade="80"/>
          <w:lang w:val="cs-CZ"/>
        </w:rPr>
        <w:t xml:space="preserve">CBRE Group, Inc. (NYSE:CBRE), společnost figurující na žebříčku Fortune 500 a indexu S&amp;P 500 se sídlem v Dallasu, je světovým lídrem v oblasti komerčních realitních služeb a investic (z hlediska výnosů za rok 2024). S přibližně 140 000 zaměstnanci (vyjma zaměstnanců společnosti Turner &amp; Townsend)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1,5 mil. m2. Pro více informací navštivte internetové stránky společnosti na </w:t>
      </w:r>
      <w:hyperlink r:id="rId18" w:history="1">
        <w:r w:rsidRPr="007C1B28">
          <w:rPr>
            <w:rStyle w:val="Hypertextovodkaz"/>
            <w:lang w:val="cs-CZ"/>
          </w:rPr>
          <w:t>www.cbre.cz</w:t>
        </w:r>
      </w:hyperlink>
      <w:r w:rsidRPr="007C1B28">
        <w:rPr>
          <w:color w:val="808080" w:themeColor="background1" w:themeShade="80"/>
          <w:lang w:val="cs-CZ"/>
        </w:rPr>
        <w:t>.  </w:t>
      </w:r>
    </w:p>
    <w:sectPr w:rsidR="00D92A6B" w:rsidRPr="007C1B28" w:rsidSect="00E01C37">
      <w:headerReference w:type="default" r:id="rId19"/>
      <w:headerReference w:type="first" r:id="rId20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1C433" w14:textId="77777777" w:rsidR="00143AFF" w:rsidRPr="007C1B28" w:rsidRDefault="00143AFF" w:rsidP="00C63036">
      <w:r w:rsidRPr="007C1B28">
        <w:separator/>
      </w:r>
    </w:p>
  </w:endnote>
  <w:endnote w:type="continuationSeparator" w:id="0">
    <w:p w14:paraId="274A3161" w14:textId="77777777" w:rsidR="00143AFF" w:rsidRPr="007C1B28" w:rsidRDefault="00143AFF" w:rsidP="00C63036">
      <w:r w:rsidRPr="007C1B28">
        <w:continuationSeparator/>
      </w:r>
    </w:p>
  </w:endnote>
  <w:endnote w:type="continuationNotice" w:id="1">
    <w:p w14:paraId="2E87C177" w14:textId="77777777" w:rsidR="00143AFF" w:rsidRPr="007C1B28" w:rsidRDefault="00143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ndardní systémové písm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10B9" w14:textId="77777777" w:rsidR="00143AFF" w:rsidRPr="007C1B28" w:rsidRDefault="00143AFF" w:rsidP="00C63036">
      <w:r w:rsidRPr="007C1B28">
        <w:separator/>
      </w:r>
    </w:p>
  </w:footnote>
  <w:footnote w:type="continuationSeparator" w:id="0">
    <w:p w14:paraId="5F731BA4" w14:textId="77777777" w:rsidR="00143AFF" w:rsidRPr="007C1B28" w:rsidRDefault="00143AFF" w:rsidP="00C63036">
      <w:r w:rsidRPr="007C1B28">
        <w:continuationSeparator/>
      </w:r>
    </w:p>
  </w:footnote>
  <w:footnote w:type="continuationNotice" w:id="1">
    <w:p w14:paraId="1AE17C20" w14:textId="77777777" w:rsidR="00143AFF" w:rsidRPr="007C1B28" w:rsidRDefault="00143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EFA8" w14:textId="40162E0F" w:rsidR="00E30CD4" w:rsidRPr="00D76131" w:rsidRDefault="00E30CD4" w:rsidP="0094537E">
    <w:pPr>
      <w:pStyle w:val="Zhlav"/>
      <w:jc w:val="right"/>
      <w:rPr>
        <w:lang w:val="cs-CZ"/>
      </w:rPr>
    </w:pPr>
    <w:r w:rsidRPr="00D76131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92A6B" w:rsidRPr="00D76131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976E" w14:textId="77777777" w:rsidR="00E30CD4" w:rsidRPr="007C1B28" w:rsidRDefault="00E30CD4">
    <w:pPr>
      <w:pStyle w:val="Zhlav"/>
    </w:pPr>
    <w:r w:rsidRPr="007C1B2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233D6E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7C1B28">
      <w:rPr>
        <w:noProof/>
      </w:rPr>
      <w:drawing>
        <wp:anchor distT="0" distB="0" distL="114300" distR="114300" simplePos="0" relativeHeight="251658242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1B2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7AE5473E" w:rsidR="00E30CD4" w:rsidRPr="007C1B28" w:rsidRDefault="00D92A6B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7C1B28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7AE5473E" w:rsidR="00E30CD4" w:rsidRPr="007C1B28" w:rsidRDefault="00D92A6B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7C1B28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2EC8"/>
    <w:multiLevelType w:val="hybridMultilevel"/>
    <w:tmpl w:val="B378A0C4"/>
    <w:lvl w:ilvl="0" w:tplc="E63C4A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ndardní systémové písmo" w:hAnsi="Standardní systémové písmo" w:hint="default"/>
      </w:rPr>
    </w:lvl>
    <w:lvl w:ilvl="1" w:tplc="227687E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ndardní systémové písmo" w:hAnsi="Standardní systémové písmo" w:hint="default"/>
      </w:rPr>
    </w:lvl>
    <w:lvl w:ilvl="2" w:tplc="BE86D1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ndardní systémové písmo" w:hAnsi="Standardní systémové písmo" w:hint="default"/>
      </w:rPr>
    </w:lvl>
    <w:lvl w:ilvl="3" w:tplc="CEE6D8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ndardní systémové písmo" w:hAnsi="Standardní systémové písmo" w:hint="default"/>
      </w:rPr>
    </w:lvl>
    <w:lvl w:ilvl="4" w:tplc="D83C2D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ndardní systémové písmo" w:hAnsi="Standardní systémové písmo" w:hint="default"/>
      </w:rPr>
    </w:lvl>
    <w:lvl w:ilvl="5" w:tplc="2CBA6B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tandardní systémové písmo" w:hAnsi="Standardní systémové písmo" w:hint="default"/>
      </w:rPr>
    </w:lvl>
    <w:lvl w:ilvl="6" w:tplc="A82075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tandardní systémové písmo" w:hAnsi="Standardní systémové písmo" w:hint="default"/>
      </w:rPr>
    </w:lvl>
    <w:lvl w:ilvl="7" w:tplc="603E81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tandardní systémové písmo" w:hAnsi="Standardní systémové písmo" w:hint="default"/>
      </w:rPr>
    </w:lvl>
    <w:lvl w:ilvl="8" w:tplc="8B2238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tandardní systémové písmo" w:hAnsi="Standardní systémové písmo" w:hint="default"/>
      </w:rPr>
    </w:lvl>
  </w:abstractNum>
  <w:num w:numId="1" w16cid:durableId="131819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03B8F"/>
    <w:rsid w:val="000060F0"/>
    <w:rsid w:val="000065CB"/>
    <w:rsid w:val="0002350E"/>
    <w:rsid w:val="00027A58"/>
    <w:rsid w:val="00031661"/>
    <w:rsid w:val="00031C0A"/>
    <w:rsid w:val="00040E62"/>
    <w:rsid w:val="00043F8E"/>
    <w:rsid w:val="000572C5"/>
    <w:rsid w:val="00061034"/>
    <w:rsid w:val="00064B63"/>
    <w:rsid w:val="00065F36"/>
    <w:rsid w:val="00073689"/>
    <w:rsid w:val="00085778"/>
    <w:rsid w:val="00086000"/>
    <w:rsid w:val="00086AA1"/>
    <w:rsid w:val="00087C05"/>
    <w:rsid w:val="000A542D"/>
    <w:rsid w:val="000B6295"/>
    <w:rsid w:val="000B642B"/>
    <w:rsid w:val="000C1730"/>
    <w:rsid w:val="000C28F1"/>
    <w:rsid w:val="000C4059"/>
    <w:rsid w:val="000C5ABF"/>
    <w:rsid w:val="000C5BA9"/>
    <w:rsid w:val="000C7040"/>
    <w:rsid w:val="000C7EA5"/>
    <w:rsid w:val="000D153D"/>
    <w:rsid w:val="000E3EC9"/>
    <w:rsid w:val="00107912"/>
    <w:rsid w:val="00111DB2"/>
    <w:rsid w:val="001236E0"/>
    <w:rsid w:val="001300F4"/>
    <w:rsid w:val="0013470D"/>
    <w:rsid w:val="00136C3A"/>
    <w:rsid w:val="0013743F"/>
    <w:rsid w:val="00140E0A"/>
    <w:rsid w:val="00142145"/>
    <w:rsid w:val="00143AFF"/>
    <w:rsid w:val="001458C7"/>
    <w:rsid w:val="00151AD8"/>
    <w:rsid w:val="00157032"/>
    <w:rsid w:val="00162C07"/>
    <w:rsid w:val="00175D64"/>
    <w:rsid w:val="001760A1"/>
    <w:rsid w:val="0018323D"/>
    <w:rsid w:val="001A2316"/>
    <w:rsid w:val="001A280B"/>
    <w:rsid w:val="001A2B9C"/>
    <w:rsid w:val="001C3542"/>
    <w:rsid w:val="001C6128"/>
    <w:rsid w:val="001C651A"/>
    <w:rsid w:val="001C6FD8"/>
    <w:rsid w:val="001C7A8E"/>
    <w:rsid w:val="001D15CA"/>
    <w:rsid w:val="001D2195"/>
    <w:rsid w:val="001D48C8"/>
    <w:rsid w:val="001E0021"/>
    <w:rsid w:val="00200B34"/>
    <w:rsid w:val="00200F6E"/>
    <w:rsid w:val="00205923"/>
    <w:rsid w:val="00207BD5"/>
    <w:rsid w:val="00212B42"/>
    <w:rsid w:val="00214804"/>
    <w:rsid w:val="00223B25"/>
    <w:rsid w:val="002246B0"/>
    <w:rsid w:val="0024756C"/>
    <w:rsid w:val="00257B6D"/>
    <w:rsid w:val="00262BA0"/>
    <w:rsid w:val="00272ADA"/>
    <w:rsid w:val="002739C3"/>
    <w:rsid w:val="00277BA5"/>
    <w:rsid w:val="00280100"/>
    <w:rsid w:val="00284B93"/>
    <w:rsid w:val="00284BBD"/>
    <w:rsid w:val="002A0509"/>
    <w:rsid w:val="002A2AEC"/>
    <w:rsid w:val="002A38EF"/>
    <w:rsid w:val="002B1B1A"/>
    <w:rsid w:val="002D7B12"/>
    <w:rsid w:val="002E2B8B"/>
    <w:rsid w:val="002E3D27"/>
    <w:rsid w:val="002E7282"/>
    <w:rsid w:val="002F4296"/>
    <w:rsid w:val="00301EFD"/>
    <w:rsid w:val="00303571"/>
    <w:rsid w:val="00305E8E"/>
    <w:rsid w:val="003072EA"/>
    <w:rsid w:val="00322110"/>
    <w:rsid w:val="00327060"/>
    <w:rsid w:val="003323F8"/>
    <w:rsid w:val="00332C41"/>
    <w:rsid w:val="00337D7D"/>
    <w:rsid w:val="00340476"/>
    <w:rsid w:val="003476EE"/>
    <w:rsid w:val="003478C4"/>
    <w:rsid w:val="00352C6C"/>
    <w:rsid w:val="00354144"/>
    <w:rsid w:val="00355265"/>
    <w:rsid w:val="00355B8E"/>
    <w:rsid w:val="00364ACC"/>
    <w:rsid w:val="0036733B"/>
    <w:rsid w:val="0037702B"/>
    <w:rsid w:val="003A434C"/>
    <w:rsid w:val="003A53B5"/>
    <w:rsid w:val="003A541C"/>
    <w:rsid w:val="003A6346"/>
    <w:rsid w:val="003B046D"/>
    <w:rsid w:val="003B0F5E"/>
    <w:rsid w:val="003B44F1"/>
    <w:rsid w:val="003B59C4"/>
    <w:rsid w:val="003C4CC5"/>
    <w:rsid w:val="003D0738"/>
    <w:rsid w:val="003D2B00"/>
    <w:rsid w:val="003D2BF9"/>
    <w:rsid w:val="003D7E8F"/>
    <w:rsid w:val="003E2EB0"/>
    <w:rsid w:val="003E5D59"/>
    <w:rsid w:val="003F2907"/>
    <w:rsid w:val="003F42F0"/>
    <w:rsid w:val="004023EE"/>
    <w:rsid w:val="0041668A"/>
    <w:rsid w:val="00423451"/>
    <w:rsid w:val="00423572"/>
    <w:rsid w:val="00425A4F"/>
    <w:rsid w:val="00435D10"/>
    <w:rsid w:val="004527F6"/>
    <w:rsid w:val="004567DF"/>
    <w:rsid w:val="004576AF"/>
    <w:rsid w:val="00461BC8"/>
    <w:rsid w:val="0046575D"/>
    <w:rsid w:val="00465B78"/>
    <w:rsid w:val="00472E38"/>
    <w:rsid w:val="00480169"/>
    <w:rsid w:val="00483BED"/>
    <w:rsid w:val="00487F8C"/>
    <w:rsid w:val="004960B4"/>
    <w:rsid w:val="004A272D"/>
    <w:rsid w:val="004A627A"/>
    <w:rsid w:val="004B40B3"/>
    <w:rsid w:val="004B739F"/>
    <w:rsid w:val="004C11F4"/>
    <w:rsid w:val="004C4C0A"/>
    <w:rsid w:val="004C749C"/>
    <w:rsid w:val="004D2AC7"/>
    <w:rsid w:val="004D3ED2"/>
    <w:rsid w:val="004E0EF8"/>
    <w:rsid w:val="004E6BBF"/>
    <w:rsid w:val="004F46E2"/>
    <w:rsid w:val="005018FC"/>
    <w:rsid w:val="00507940"/>
    <w:rsid w:val="0051203F"/>
    <w:rsid w:val="00515372"/>
    <w:rsid w:val="00533E87"/>
    <w:rsid w:val="0054460C"/>
    <w:rsid w:val="0054772F"/>
    <w:rsid w:val="00552462"/>
    <w:rsid w:val="00554FEE"/>
    <w:rsid w:val="00555213"/>
    <w:rsid w:val="005623F8"/>
    <w:rsid w:val="0056286A"/>
    <w:rsid w:val="00566701"/>
    <w:rsid w:val="0057299D"/>
    <w:rsid w:val="00572B69"/>
    <w:rsid w:val="005754E1"/>
    <w:rsid w:val="00582679"/>
    <w:rsid w:val="00585DCD"/>
    <w:rsid w:val="005903E1"/>
    <w:rsid w:val="00594321"/>
    <w:rsid w:val="0059494B"/>
    <w:rsid w:val="005A237A"/>
    <w:rsid w:val="005A4E5C"/>
    <w:rsid w:val="005B65B6"/>
    <w:rsid w:val="005B6DBF"/>
    <w:rsid w:val="005C1891"/>
    <w:rsid w:val="005C2B9C"/>
    <w:rsid w:val="005C7DAF"/>
    <w:rsid w:val="005D0390"/>
    <w:rsid w:val="005D209F"/>
    <w:rsid w:val="005D6347"/>
    <w:rsid w:val="005E0702"/>
    <w:rsid w:val="005E3242"/>
    <w:rsid w:val="005E3C08"/>
    <w:rsid w:val="005E504A"/>
    <w:rsid w:val="005F7F99"/>
    <w:rsid w:val="00601627"/>
    <w:rsid w:val="0061195C"/>
    <w:rsid w:val="006160A8"/>
    <w:rsid w:val="00620AAF"/>
    <w:rsid w:val="006231BB"/>
    <w:rsid w:val="00624FD4"/>
    <w:rsid w:val="006268F4"/>
    <w:rsid w:val="0063267C"/>
    <w:rsid w:val="0063427E"/>
    <w:rsid w:val="006351A8"/>
    <w:rsid w:val="006451BD"/>
    <w:rsid w:val="0064541B"/>
    <w:rsid w:val="0064700E"/>
    <w:rsid w:val="00651E1D"/>
    <w:rsid w:val="0065401E"/>
    <w:rsid w:val="006570BD"/>
    <w:rsid w:val="00670A4C"/>
    <w:rsid w:val="006738F2"/>
    <w:rsid w:val="00677270"/>
    <w:rsid w:val="00680869"/>
    <w:rsid w:val="00685808"/>
    <w:rsid w:val="00690DBA"/>
    <w:rsid w:val="00694A49"/>
    <w:rsid w:val="006A0EEA"/>
    <w:rsid w:val="006A1F38"/>
    <w:rsid w:val="006A5A8D"/>
    <w:rsid w:val="006A6326"/>
    <w:rsid w:val="006B5B87"/>
    <w:rsid w:val="006C535E"/>
    <w:rsid w:val="006C561B"/>
    <w:rsid w:val="006D2927"/>
    <w:rsid w:val="006E3D41"/>
    <w:rsid w:val="006E7ABB"/>
    <w:rsid w:val="00707376"/>
    <w:rsid w:val="0071780E"/>
    <w:rsid w:val="00722C2A"/>
    <w:rsid w:val="0073408B"/>
    <w:rsid w:val="00736F66"/>
    <w:rsid w:val="00737D98"/>
    <w:rsid w:val="00742D8F"/>
    <w:rsid w:val="00757A9D"/>
    <w:rsid w:val="00767C00"/>
    <w:rsid w:val="00770BA3"/>
    <w:rsid w:val="007917D9"/>
    <w:rsid w:val="007960B8"/>
    <w:rsid w:val="007A0E16"/>
    <w:rsid w:val="007A29ED"/>
    <w:rsid w:val="007A7D89"/>
    <w:rsid w:val="007B40F7"/>
    <w:rsid w:val="007B7C71"/>
    <w:rsid w:val="007C1B28"/>
    <w:rsid w:val="007C27D0"/>
    <w:rsid w:val="007C42AD"/>
    <w:rsid w:val="007C67F2"/>
    <w:rsid w:val="007D229F"/>
    <w:rsid w:val="007D51A8"/>
    <w:rsid w:val="007D5D42"/>
    <w:rsid w:val="007E236C"/>
    <w:rsid w:val="007E3A3A"/>
    <w:rsid w:val="007E5470"/>
    <w:rsid w:val="007F1287"/>
    <w:rsid w:val="007F4A3F"/>
    <w:rsid w:val="007F53DE"/>
    <w:rsid w:val="00804E5B"/>
    <w:rsid w:val="00805AA4"/>
    <w:rsid w:val="00813781"/>
    <w:rsid w:val="0082302F"/>
    <w:rsid w:val="00823FFA"/>
    <w:rsid w:val="0083142D"/>
    <w:rsid w:val="00831576"/>
    <w:rsid w:val="008455AA"/>
    <w:rsid w:val="0084782C"/>
    <w:rsid w:val="00850203"/>
    <w:rsid w:val="00856AB9"/>
    <w:rsid w:val="00857A81"/>
    <w:rsid w:val="00870EFE"/>
    <w:rsid w:val="008719C1"/>
    <w:rsid w:val="00871C73"/>
    <w:rsid w:val="00871EB6"/>
    <w:rsid w:val="00883166"/>
    <w:rsid w:val="00886CC6"/>
    <w:rsid w:val="00891B0B"/>
    <w:rsid w:val="0089296D"/>
    <w:rsid w:val="008A163D"/>
    <w:rsid w:val="008A1F72"/>
    <w:rsid w:val="008A693E"/>
    <w:rsid w:val="008B6AE1"/>
    <w:rsid w:val="008E30E8"/>
    <w:rsid w:val="008F05F9"/>
    <w:rsid w:val="008F1D24"/>
    <w:rsid w:val="008F2B73"/>
    <w:rsid w:val="008F4915"/>
    <w:rsid w:val="008F4E12"/>
    <w:rsid w:val="008F772B"/>
    <w:rsid w:val="0090202B"/>
    <w:rsid w:val="00904FEF"/>
    <w:rsid w:val="00907900"/>
    <w:rsid w:val="00920F84"/>
    <w:rsid w:val="00922D72"/>
    <w:rsid w:val="00927092"/>
    <w:rsid w:val="00933F9A"/>
    <w:rsid w:val="00940CE3"/>
    <w:rsid w:val="0094537E"/>
    <w:rsid w:val="00946CF8"/>
    <w:rsid w:val="0094783B"/>
    <w:rsid w:val="0095600E"/>
    <w:rsid w:val="009572CA"/>
    <w:rsid w:val="00960B28"/>
    <w:rsid w:val="00967D12"/>
    <w:rsid w:val="00973776"/>
    <w:rsid w:val="00991E65"/>
    <w:rsid w:val="00992DF6"/>
    <w:rsid w:val="009A12B2"/>
    <w:rsid w:val="009A18E3"/>
    <w:rsid w:val="009A2BF6"/>
    <w:rsid w:val="009A3B1E"/>
    <w:rsid w:val="009A57D4"/>
    <w:rsid w:val="009A66C4"/>
    <w:rsid w:val="009B4F34"/>
    <w:rsid w:val="009C08D6"/>
    <w:rsid w:val="009C1C2B"/>
    <w:rsid w:val="009D0434"/>
    <w:rsid w:val="009D1231"/>
    <w:rsid w:val="009D1324"/>
    <w:rsid w:val="009D73A6"/>
    <w:rsid w:val="009E7677"/>
    <w:rsid w:val="009F514B"/>
    <w:rsid w:val="009F661D"/>
    <w:rsid w:val="00A04B2B"/>
    <w:rsid w:val="00A13B6E"/>
    <w:rsid w:val="00A1544D"/>
    <w:rsid w:val="00A15C2E"/>
    <w:rsid w:val="00A16C6D"/>
    <w:rsid w:val="00A212D2"/>
    <w:rsid w:val="00A26BF0"/>
    <w:rsid w:val="00A30F36"/>
    <w:rsid w:val="00A57E49"/>
    <w:rsid w:val="00A703C7"/>
    <w:rsid w:val="00A705E6"/>
    <w:rsid w:val="00A71B8E"/>
    <w:rsid w:val="00A745D6"/>
    <w:rsid w:val="00A7587B"/>
    <w:rsid w:val="00A85621"/>
    <w:rsid w:val="00A90A3A"/>
    <w:rsid w:val="00AA247D"/>
    <w:rsid w:val="00AA4E69"/>
    <w:rsid w:val="00AA7D23"/>
    <w:rsid w:val="00AB0F7F"/>
    <w:rsid w:val="00AB6D32"/>
    <w:rsid w:val="00AC3224"/>
    <w:rsid w:val="00AD56B6"/>
    <w:rsid w:val="00AE0EF6"/>
    <w:rsid w:val="00AE2449"/>
    <w:rsid w:val="00AE4112"/>
    <w:rsid w:val="00AE6554"/>
    <w:rsid w:val="00AF2412"/>
    <w:rsid w:val="00AF2EBE"/>
    <w:rsid w:val="00AF538F"/>
    <w:rsid w:val="00AF6356"/>
    <w:rsid w:val="00B0183F"/>
    <w:rsid w:val="00B14D94"/>
    <w:rsid w:val="00B15901"/>
    <w:rsid w:val="00B33F45"/>
    <w:rsid w:val="00B35D6C"/>
    <w:rsid w:val="00B3633D"/>
    <w:rsid w:val="00B44022"/>
    <w:rsid w:val="00B45298"/>
    <w:rsid w:val="00B5069F"/>
    <w:rsid w:val="00B52BF3"/>
    <w:rsid w:val="00B61266"/>
    <w:rsid w:val="00B627CE"/>
    <w:rsid w:val="00B6628C"/>
    <w:rsid w:val="00B721CD"/>
    <w:rsid w:val="00B731D4"/>
    <w:rsid w:val="00B736E0"/>
    <w:rsid w:val="00B75B00"/>
    <w:rsid w:val="00B76BA6"/>
    <w:rsid w:val="00B80B6F"/>
    <w:rsid w:val="00B90463"/>
    <w:rsid w:val="00BB0E9C"/>
    <w:rsid w:val="00BB556C"/>
    <w:rsid w:val="00BB754F"/>
    <w:rsid w:val="00BC0CA9"/>
    <w:rsid w:val="00BC16A9"/>
    <w:rsid w:val="00BC4CF9"/>
    <w:rsid w:val="00BC727C"/>
    <w:rsid w:val="00BC730A"/>
    <w:rsid w:val="00BD1A58"/>
    <w:rsid w:val="00BD61C9"/>
    <w:rsid w:val="00BE7B6E"/>
    <w:rsid w:val="00BF7463"/>
    <w:rsid w:val="00C15915"/>
    <w:rsid w:val="00C31B08"/>
    <w:rsid w:val="00C36015"/>
    <w:rsid w:val="00C51F31"/>
    <w:rsid w:val="00C56AC3"/>
    <w:rsid w:val="00C57BB4"/>
    <w:rsid w:val="00C63036"/>
    <w:rsid w:val="00C65190"/>
    <w:rsid w:val="00C8593C"/>
    <w:rsid w:val="00CB460E"/>
    <w:rsid w:val="00CC3DBC"/>
    <w:rsid w:val="00CF3E51"/>
    <w:rsid w:val="00D01B9D"/>
    <w:rsid w:val="00D10AF9"/>
    <w:rsid w:val="00D15FA3"/>
    <w:rsid w:val="00D17713"/>
    <w:rsid w:val="00D21093"/>
    <w:rsid w:val="00D3178C"/>
    <w:rsid w:val="00D449F5"/>
    <w:rsid w:val="00D46096"/>
    <w:rsid w:val="00D5426E"/>
    <w:rsid w:val="00D54CE5"/>
    <w:rsid w:val="00D57A29"/>
    <w:rsid w:val="00D6004C"/>
    <w:rsid w:val="00D67169"/>
    <w:rsid w:val="00D76131"/>
    <w:rsid w:val="00D76255"/>
    <w:rsid w:val="00D92A6B"/>
    <w:rsid w:val="00D96345"/>
    <w:rsid w:val="00DB1F6D"/>
    <w:rsid w:val="00DB3964"/>
    <w:rsid w:val="00DB6576"/>
    <w:rsid w:val="00DC0226"/>
    <w:rsid w:val="00DC25F5"/>
    <w:rsid w:val="00DD13D1"/>
    <w:rsid w:val="00DD5DA3"/>
    <w:rsid w:val="00DF6415"/>
    <w:rsid w:val="00E01C37"/>
    <w:rsid w:val="00E02087"/>
    <w:rsid w:val="00E0582A"/>
    <w:rsid w:val="00E11D59"/>
    <w:rsid w:val="00E1264A"/>
    <w:rsid w:val="00E14E0D"/>
    <w:rsid w:val="00E2340D"/>
    <w:rsid w:val="00E30CD4"/>
    <w:rsid w:val="00E4060F"/>
    <w:rsid w:val="00E43D88"/>
    <w:rsid w:val="00E470D1"/>
    <w:rsid w:val="00E5352D"/>
    <w:rsid w:val="00E53CA1"/>
    <w:rsid w:val="00E62B6A"/>
    <w:rsid w:val="00E633C0"/>
    <w:rsid w:val="00E65F35"/>
    <w:rsid w:val="00E7312A"/>
    <w:rsid w:val="00E76244"/>
    <w:rsid w:val="00E77793"/>
    <w:rsid w:val="00E80A8C"/>
    <w:rsid w:val="00E8799D"/>
    <w:rsid w:val="00EA2A8D"/>
    <w:rsid w:val="00EA427F"/>
    <w:rsid w:val="00EB03A9"/>
    <w:rsid w:val="00EB26AE"/>
    <w:rsid w:val="00EB3A75"/>
    <w:rsid w:val="00EB4B64"/>
    <w:rsid w:val="00EB5D4C"/>
    <w:rsid w:val="00EC7CBA"/>
    <w:rsid w:val="00ED1394"/>
    <w:rsid w:val="00ED29E8"/>
    <w:rsid w:val="00EE0991"/>
    <w:rsid w:val="00EE3A21"/>
    <w:rsid w:val="00EE3BB0"/>
    <w:rsid w:val="00EE7427"/>
    <w:rsid w:val="00EF282A"/>
    <w:rsid w:val="00EF3053"/>
    <w:rsid w:val="00F0143E"/>
    <w:rsid w:val="00F042D0"/>
    <w:rsid w:val="00F05D86"/>
    <w:rsid w:val="00F05F99"/>
    <w:rsid w:val="00F06F4E"/>
    <w:rsid w:val="00F07545"/>
    <w:rsid w:val="00F1654A"/>
    <w:rsid w:val="00F222C1"/>
    <w:rsid w:val="00F27A6E"/>
    <w:rsid w:val="00F31F9E"/>
    <w:rsid w:val="00F350C1"/>
    <w:rsid w:val="00F40950"/>
    <w:rsid w:val="00F41F5C"/>
    <w:rsid w:val="00F4380F"/>
    <w:rsid w:val="00F4774E"/>
    <w:rsid w:val="00F514ED"/>
    <w:rsid w:val="00F51DB7"/>
    <w:rsid w:val="00F52470"/>
    <w:rsid w:val="00F52687"/>
    <w:rsid w:val="00F55E50"/>
    <w:rsid w:val="00F60134"/>
    <w:rsid w:val="00F76455"/>
    <w:rsid w:val="00F81642"/>
    <w:rsid w:val="00F8259F"/>
    <w:rsid w:val="00F91534"/>
    <w:rsid w:val="00FB548F"/>
    <w:rsid w:val="00FC1B50"/>
    <w:rsid w:val="00FC6E1E"/>
    <w:rsid w:val="00FD0DC1"/>
    <w:rsid w:val="00FD3304"/>
    <w:rsid w:val="00FD4BF3"/>
    <w:rsid w:val="00FD733E"/>
    <w:rsid w:val="00FE0AFA"/>
    <w:rsid w:val="00FE224E"/>
    <w:rsid w:val="00FE59E4"/>
    <w:rsid w:val="00FF3BA3"/>
    <w:rsid w:val="012C396F"/>
    <w:rsid w:val="0157085E"/>
    <w:rsid w:val="019CAFF7"/>
    <w:rsid w:val="0260382D"/>
    <w:rsid w:val="02AF9E42"/>
    <w:rsid w:val="02B1B857"/>
    <w:rsid w:val="03744C52"/>
    <w:rsid w:val="038857FD"/>
    <w:rsid w:val="03A01C21"/>
    <w:rsid w:val="055DBBA8"/>
    <w:rsid w:val="05630D10"/>
    <w:rsid w:val="0627C083"/>
    <w:rsid w:val="07C1A890"/>
    <w:rsid w:val="07C2A9E7"/>
    <w:rsid w:val="080B1F85"/>
    <w:rsid w:val="08D67B47"/>
    <w:rsid w:val="08DCD7AE"/>
    <w:rsid w:val="08EF2015"/>
    <w:rsid w:val="0A0C5669"/>
    <w:rsid w:val="0A453413"/>
    <w:rsid w:val="0B072D0F"/>
    <w:rsid w:val="0BA22237"/>
    <w:rsid w:val="0BC43241"/>
    <w:rsid w:val="0C8D6B31"/>
    <w:rsid w:val="0CBF8EA1"/>
    <w:rsid w:val="0D5A42D4"/>
    <w:rsid w:val="0D5EB699"/>
    <w:rsid w:val="0DE478CF"/>
    <w:rsid w:val="0E8F90D3"/>
    <w:rsid w:val="0EE491F0"/>
    <w:rsid w:val="0F0B8F74"/>
    <w:rsid w:val="0F5030B2"/>
    <w:rsid w:val="0F53A3FB"/>
    <w:rsid w:val="0FCC1F5B"/>
    <w:rsid w:val="1038B00E"/>
    <w:rsid w:val="11E85297"/>
    <w:rsid w:val="1260B3CF"/>
    <w:rsid w:val="1355BD75"/>
    <w:rsid w:val="140E9871"/>
    <w:rsid w:val="158201B8"/>
    <w:rsid w:val="15C4492E"/>
    <w:rsid w:val="161D92FE"/>
    <w:rsid w:val="1728FBC9"/>
    <w:rsid w:val="17DF2A70"/>
    <w:rsid w:val="183CFEE0"/>
    <w:rsid w:val="19FFC29A"/>
    <w:rsid w:val="1A45EFAD"/>
    <w:rsid w:val="1A6361E9"/>
    <w:rsid w:val="1A7DAE11"/>
    <w:rsid w:val="1A83F7E5"/>
    <w:rsid w:val="1ABA39EF"/>
    <w:rsid w:val="1ADE555C"/>
    <w:rsid w:val="1B03EAA3"/>
    <w:rsid w:val="1B2BEF27"/>
    <w:rsid w:val="1B4F74D3"/>
    <w:rsid w:val="1BD6A794"/>
    <w:rsid w:val="1C08ED99"/>
    <w:rsid w:val="1C1F390D"/>
    <w:rsid w:val="1C8AE7D1"/>
    <w:rsid w:val="1CB38C5F"/>
    <w:rsid w:val="1DE15B39"/>
    <w:rsid w:val="1DEAD8D8"/>
    <w:rsid w:val="1EA43E0F"/>
    <w:rsid w:val="1F538EC0"/>
    <w:rsid w:val="1FB32331"/>
    <w:rsid w:val="20093631"/>
    <w:rsid w:val="20E15F00"/>
    <w:rsid w:val="2111F073"/>
    <w:rsid w:val="2136FE17"/>
    <w:rsid w:val="214DD18F"/>
    <w:rsid w:val="22C4790D"/>
    <w:rsid w:val="22C69F99"/>
    <w:rsid w:val="245179C4"/>
    <w:rsid w:val="247DBDCF"/>
    <w:rsid w:val="249C821C"/>
    <w:rsid w:val="24CDC544"/>
    <w:rsid w:val="253A0C5B"/>
    <w:rsid w:val="25870325"/>
    <w:rsid w:val="25BCA6B2"/>
    <w:rsid w:val="25EDED4B"/>
    <w:rsid w:val="265C2BB0"/>
    <w:rsid w:val="267633A7"/>
    <w:rsid w:val="27A6B97A"/>
    <w:rsid w:val="27B08E67"/>
    <w:rsid w:val="27CA10A8"/>
    <w:rsid w:val="284BF74E"/>
    <w:rsid w:val="288F00E4"/>
    <w:rsid w:val="295ED33C"/>
    <w:rsid w:val="299FE008"/>
    <w:rsid w:val="29A90413"/>
    <w:rsid w:val="2AF09EA5"/>
    <w:rsid w:val="2B340518"/>
    <w:rsid w:val="2C8D23E6"/>
    <w:rsid w:val="2D0DA07D"/>
    <w:rsid w:val="2D83ED8E"/>
    <w:rsid w:val="2F033315"/>
    <w:rsid w:val="2F7D3A44"/>
    <w:rsid w:val="30507D5E"/>
    <w:rsid w:val="311E4DFC"/>
    <w:rsid w:val="314A06ED"/>
    <w:rsid w:val="314FDF03"/>
    <w:rsid w:val="3383119B"/>
    <w:rsid w:val="33D85EF0"/>
    <w:rsid w:val="34036F72"/>
    <w:rsid w:val="340AACA3"/>
    <w:rsid w:val="35B65646"/>
    <w:rsid w:val="36BCF56F"/>
    <w:rsid w:val="37D29A25"/>
    <w:rsid w:val="386826ED"/>
    <w:rsid w:val="38BE104D"/>
    <w:rsid w:val="39266528"/>
    <w:rsid w:val="399B7031"/>
    <w:rsid w:val="3AC56DB8"/>
    <w:rsid w:val="3B24EA9A"/>
    <w:rsid w:val="3BB4AD5A"/>
    <w:rsid w:val="3BEDFA7F"/>
    <w:rsid w:val="3C22AB4B"/>
    <w:rsid w:val="3CE41183"/>
    <w:rsid w:val="3DC0F952"/>
    <w:rsid w:val="3E79C034"/>
    <w:rsid w:val="3EEE7DD3"/>
    <w:rsid w:val="3F0F6B8B"/>
    <w:rsid w:val="4071E195"/>
    <w:rsid w:val="40D1A937"/>
    <w:rsid w:val="411F6009"/>
    <w:rsid w:val="41251857"/>
    <w:rsid w:val="4145E346"/>
    <w:rsid w:val="41805D68"/>
    <w:rsid w:val="436F76DD"/>
    <w:rsid w:val="437ADBC3"/>
    <w:rsid w:val="4401AF14"/>
    <w:rsid w:val="44401299"/>
    <w:rsid w:val="451E3A53"/>
    <w:rsid w:val="45CAACD1"/>
    <w:rsid w:val="45DA841B"/>
    <w:rsid w:val="463FD749"/>
    <w:rsid w:val="465A3183"/>
    <w:rsid w:val="4702F8B7"/>
    <w:rsid w:val="479F4E22"/>
    <w:rsid w:val="481F5BC1"/>
    <w:rsid w:val="484B6A11"/>
    <w:rsid w:val="49223405"/>
    <w:rsid w:val="49538BE5"/>
    <w:rsid w:val="49974884"/>
    <w:rsid w:val="49C2EBF1"/>
    <w:rsid w:val="4A10F38D"/>
    <w:rsid w:val="4AAEF09D"/>
    <w:rsid w:val="4AD9A1E9"/>
    <w:rsid w:val="4B35132A"/>
    <w:rsid w:val="4BB5E226"/>
    <w:rsid w:val="4BC3D9D3"/>
    <w:rsid w:val="4BEC2032"/>
    <w:rsid w:val="4C15075B"/>
    <w:rsid w:val="4CFC2C5B"/>
    <w:rsid w:val="4D41E18A"/>
    <w:rsid w:val="4DD839BA"/>
    <w:rsid w:val="4F2CCC9F"/>
    <w:rsid w:val="504604A6"/>
    <w:rsid w:val="50A691AD"/>
    <w:rsid w:val="50B58C90"/>
    <w:rsid w:val="512D125D"/>
    <w:rsid w:val="516AFB85"/>
    <w:rsid w:val="541A0A44"/>
    <w:rsid w:val="5464DE8A"/>
    <w:rsid w:val="54B8047E"/>
    <w:rsid w:val="55AE035F"/>
    <w:rsid w:val="56CB9EBE"/>
    <w:rsid w:val="572ACAEA"/>
    <w:rsid w:val="573AE125"/>
    <w:rsid w:val="57A7C049"/>
    <w:rsid w:val="57C15EB4"/>
    <w:rsid w:val="57FA4199"/>
    <w:rsid w:val="58A8BEB6"/>
    <w:rsid w:val="59BF0BA9"/>
    <w:rsid w:val="5A19DE7E"/>
    <w:rsid w:val="5A8E9951"/>
    <w:rsid w:val="5AB4E595"/>
    <w:rsid w:val="5ADF950F"/>
    <w:rsid w:val="5AF6DFAD"/>
    <w:rsid w:val="5AFA2426"/>
    <w:rsid w:val="5B267D4E"/>
    <w:rsid w:val="5B3D5A74"/>
    <w:rsid w:val="5B4CD0A7"/>
    <w:rsid w:val="5B84B38D"/>
    <w:rsid w:val="5BAB364E"/>
    <w:rsid w:val="5BCDE143"/>
    <w:rsid w:val="5C88AD01"/>
    <w:rsid w:val="5D362FAF"/>
    <w:rsid w:val="5DE73B4F"/>
    <w:rsid w:val="5F08DE6E"/>
    <w:rsid w:val="60728D5F"/>
    <w:rsid w:val="60839E46"/>
    <w:rsid w:val="608DAC60"/>
    <w:rsid w:val="60D4F821"/>
    <w:rsid w:val="60D8B316"/>
    <w:rsid w:val="60D9DB49"/>
    <w:rsid w:val="60EA6CBB"/>
    <w:rsid w:val="61211996"/>
    <w:rsid w:val="61403759"/>
    <w:rsid w:val="61661E7F"/>
    <w:rsid w:val="61BFDE33"/>
    <w:rsid w:val="622E5EC5"/>
    <w:rsid w:val="6234160E"/>
    <w:rsid w:val="629B2DCE"/>
    <w:rsid w:val="62A0488C"/>
    <w:rsid w:val="62D9808A"/>
    <w:rsid w:val="6320331A"/>
    <w:rsid w:val="63578411"/>
    <w:rsid w:val="6370A194"/>
    <w:rsid w:val="63C7B3B7"/>
    <w:rsid w:val="646BA1CD"/>
    <w:rsid w:val="64D10C76"/>
    <w:rsid w:val="657D603F"/>
    <w:rsid w:val="6629BDFC"/>
    <w:rsid w:val="667D6139"/>
    <w:rsid w:val="66846CC0"/>
    <w:rsid w:val="674438A7"/>
    <w:rsid w:val="68AE178C"/>
    <w:rsid w:val="69E60691"/>
    <w:rsid w:val="6A11E679"/>
    <w:rsid w:val="6D0E66CA"/>
    <w:rsid w:val="6D7DCF6B"/>
    <w:rsid w:val="6DDF97DF"/>
    <w:rsid w:val="6E07F254"/>
    <w:rsid w:val="6E9828BB"/>
    <w:rsid w:val="6F0AD025"/>
    <w:rsid w:val="706A40C7"/>
    <w:rsid w:val="7144CB15"/>
    <w:rsid w:val="71472456"/>
    <w:rsid w:val="717B41F5"/>
    <w:rsid w:val="71914048"/>
    <w:rsid w:val="720DACA5"/>
    <w:rsid w:val="72B284D9"/>
    <w:rsid w:val="738E0174"/>
    <w:rsid w:val="746EE8C5"/>
    <w:rsid w:val="75051F60"/>
    <w:rsid w:val="76421238"/>
    <w:rsid w:val="764EF00C"/>
    <w:rsid w:val="76769768"/>
    <w:rsid w:val="7787E2E0"/>
    <w:rsid w:val="789205FC"/>
    <w:rsid w:val="79095177"/>
    <w:rsid w:val="796EA5C2"/>
    <w:rsid w:val="7A6175F3"/>
    <w:rsid w:val="7C398439"/>
    <w:rsid w:val="7D8876B1"/>
    <w:rsid w:val="7F8FD612"/>
    <w:rsid w:val="7FAA18FF"/>
    <w:rsid w:val="7FE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EAF1679E-0519-4F61-AE1B-ED56047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3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3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3E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3E8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paragraph">
    <w:name w:val="paragraph"/>
    <w:basedOn w:val="Normln"/>
    <w:rsid w:val="005C7DA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Standardnpsmoodstavce"/>
    <w:rsid w:val="005C7DAF"/>
  </w:style>
  <w:style w:type="character" w:customStyle="1" w:styleId="eop">
    <w:name w:val="eop"/>
    <w:basedOn w:val="Standardnpsmoodstavce"/>
    <w:rsid w:val="005C7DAF"/>
  </w:style>
  <w:style w:type="paragraph" w:styleId="Revize">
    <w:name w:val="Revision"/>
    <w:hidden/>
    <w:uiPriority w:val="99"/>
    <w:semiHidden/>
    <w:rsid w:val="00EB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754E1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13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5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5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7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00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6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" TargetMode="External"/><Relationship Id="rId18" Type="http://schemas.openxmlformats.org/officeDocument/2006/relationships/hyperlink" Target="http://www.cbre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s://www.instagram.com/cbre_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vana.prochazkova@cbr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B4F1C-4A4F-476B-AA1D-B35203E6F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6B2A7-B0A8-42F0-A539-56882046D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96235-FEBE-40C6-9BD3-2C3EC868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33179F-69EA-4EA2-AA3A-8FF4FCD1991F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Metadata/LabelInfo.xml><?xml version="1.0" encoding="utf-8"?>
<clbl:labelList xmlns:clbl="http://schemas.microsoft.com/office/2020/mipLabelMetadata">
  <clbl:label id="{a4033ad9-086f-4644-8250-c4b04e194685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10</TotalTime>
  <Pages>2</Pages>
  <Words>927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Mirman, Corey @ Corporate Communications</dc:creator>
  <cp:keywords/>
  <cp:lastModifiedBy>Tereza Vykypěl</cp:lastModifiedBy>
  <cp:revision>4</cp:revision>
  <cp:lastPrinted>2023-12-12T18:35:00Z</cp:lastPrinted>
  <dcterms:created xsi:type="dcterms:W3CDTF">2025-06-27T09:54:00Z</dcterms:created>
  <dcterms:modified xsi:type="dcterms:W3CDTF">2025-07-01T08:53:00Z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2e07bf9cd05b419f08bbe6a0cfc25b2567a991c2dcc512bf619ef5a07575a297</vt:lpwstr>
  </property>
  <property fmtid="{D5CDD505-2E9C-101B-9397-08002B2CF9AE}" pid="3" name="ContentTypeId">
    <vt:lpwstr>0x010100D037425BC85BAC47A18BE758018E6255</vt:lpwstr>
  </property>
  <property fmtid="{D5CDD505-2E9C-101B-9397-08002B2CF9AE}" pid="4" name="MediaServiceImageTags">
    <vt:lpwstr/>
  </property>
</Properties>
</file>