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7D6CA672" w:rsidR="00351FF5" w:rsidRDefault="00351FF5" w:rsidP="00351FF5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2BB1B668" wp14:editId="6F051218">
            <wp:extent cx="7747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3B25B" w14:textId="77777777" w:rsidR="009922F2" w:rsidRPr="009922F2" w:rsidRDefault="009922F2" w:rsidP="009922F2">
      <w:pPr>
        <w:pStyle w:val="Nadpis1"/>
        <w:rPr>
          <w:b w:val="0"/>
        </w:rPr>
      </w:pPr>
      <w:r w:rsidRPr="009922F2">
        <w:rPr>
          <w:b w:val="0"/>
        </w:rPr>
        <w:t>KB Penzijní společnost očekává kvůli říjnovým změnám v důchodech zvýšený počet žadatelů o předdůchod</w:t>
      </w:r>
    </w:p>
    <w:p w14:paraId="59D81AAB" w14:textId="77777777" w:rsidR="009922F2" w:rsidRDefault="009922F2" w:rsidP="009922F2">
      <w:pPr>
        <w:rPr>
          <w:rFonts w:ascii="Inter Semi Bold" w:hAnsi="Inter Semi Bold"/>
          <w:b/>
          <w:bCs/>
          <w:szCs w:val="22"/>
        </w:rPr>
      </w:pPr>
    </w:p>
    <w:p w14:paraId="4874A0FB" w14:textId="3D50A509" w:rsidR="009922F2" w:rsidRPr="00945BEC" w:rsidRDefault="009922F2" w:rsidP="009922F2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 xml:space="preserve">Praha, </w:t>
      </w:r>
      <w:r>
        <w:rPr>
          <w:rFonts w:ascii="Inter Semi Bold" w:hAnsi="Inter Semi Bold"/>
          <w:b/>
          <w:bCs/>
          <w:szCs w:val="22"/>
        </w:rPr>
        <w:t>14</w:t>
      </w:r>
      <w:r w:rsidRPr="00351FF5">
        <w:rPr>
          <w:rFonts w:ascii="Inter Semi Bold" w:hAnsi="Inter Semi Bold"/>
          <w:b/>
          <w:bCs/>
          <w:szCs w:val="22"/>
        </w:rPr>
        <w:t xml:space="preserve">. </w:t>
      </w:r>
      <w:r>
        <w:rPr>
          <w:rFonts w:ascii="Inter Semi Bold" w:hAnsi="Inter Semi Bold"/>
          <w:b/>
          <w:bCs/>
          <w:szCs w:val="22"/>
        </w:rPr>
        <w:t>srpna</w:t>
      </w:r>
      <w:r w:rsidRPr="00351FF5">
        <w:rPr>
          <w:rFonts w:ascii="Inter Semi Bold" w:hAnsi="Inter Semi Bold"/>
          <w:b/>
          <w:bCs/>
          <w:szCs w:val="22"/>
        </w:rPr>
        <w:t xml:space="preserve"> 202</w:t>
      </w:r>
      <w:r>
        <w:rPr>
          <w:rFonts w:ascii="Inter Semi Bold" w:hAnsi="Inter Semi Bold"/>
          <w:b/>
          <w:bCs/>
          <w:szCs w:val="22"/>
        </w:rPr>
        <w:t>3</w:t>
      </w:r>
    </w:p>
    <w:p w14:paraId="33AE4565" w14:textId="77777777" w:rsidR="009922F2" w:rsidRDefault="009922F2" w:rsidP="009922F2">
      <w:pPr>
        <w:pStyle w:val="Textbody"/>
        <w:rPr>
          <w:rFonts w:ascii="Arial" w:hAnsi="Arial"/>
          <w:color w:val="000000"/>
        </w:rPr>
      </w:pPr>
    </w:p>
    <w:p w14:paraId="3FA90297" w14:textId="77777777" w:rsidR="009922F2" w:rsidRDefault="009922F2" w:rsidP="009922F2">
      <w:pPr>
        <w:pStyle w:val="Textbody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Plánované změny v penzijním systému, které začnou platit od 1. října 2023, se mimo jiné dotknou i předčasných důchodů. Nově bude možné odejít do předčasného důchodu pouze 3 roky před řádným důchodem, nikoliv 5 let jako doposud. Navíc předčasný důchod bude nižší kvůli vyššímu krácení. Jednou z možností pro ty, kterým se podmínky předčasného důchodu změní, a přesto by chtěli odejít do penze v plánovaném termínu, je doplňkové penzijní spoření (DPS). KB Penzijní společnost očekává, že i její klienti budou chtít ve větší míře využít DPS pro předdůchody, pokud budou mít na svých účtech dostatečné úspory.</w:t>
      </w:r>
    </w:p>
    <w:p w14:paraId="51D53EF5" w14:textId="31973795" w:rsidR="009922F2" w:rsidRPr="00FC3891" w:rsidRDefault="009922F2" w:rsidP="009922F2">
      <w:pPr>
        <w:pStyle w:val="Textbody"/>
        <w:rPr>
          <w:rFonts w:hint="eastAsia"/>
        </w:rPr>
      </w:pPr>
      <w:r>
        <w:rPr>
          <w:rFonts w:ascii="Calibri" w:hAnsi="Calibri" w:cs="Calibri"/>
          <w:i/>
          <w:iCs/>
          <w:color w:val="000000"/>
        </w:rPr>
        <w:t xml:space="preserve">„Doposud předdůchod čerpali zejména lidé, kteří pár let před důchodem ztratili práci, zhoršil se jejich zdravotní stav, nebo potřebovali pečovat o člena rodiny. Dnes je tato možnost východiskem i pro ty, kterým se nově přijatou důchodovou reformou o dva roky prodlouží doba odchodu do předčasného důchodu, takže předpokládáme, že zájem o předdůchody se výrazně zvýší. Navíc využití předdůchodu pro tento účel se přímo nabízí, protože jeho doba musí trvat minimálně zmíněné dva roky, ale žadatel může využít až dobu 5 let,“ </w:t>
      </w:r>
      <w:r w:rsidRPr="00FC3891">
        <w:rPr>
          <w:rFonts w:ascii="Calibri" w:hAnsi="Calibri" w:cs="Calibri"/>
          <w:color w:val="000000"/>
        </w:rPr>
        <w:t>uvedla členka představenstva KB Penzijní společnosti Jana Petrovská.</w:t>
      </w:r>
    </w:p>
    <w:p w14:paraId="7CDD309D" w14:textId="77777777" w:rsidR="009922F2" w:rsidRDefault="009922F2" w:rsidP="009922F2">
      <w:pPr>
        <w:pStyle w:val="Textbody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 předdůchod, který lze čerpat v délce od 2 do 5 let, lze požádat nejdříve 5 let před důchodovým věkem. Aby vznikl nárok na předdůchod, musí účastník odspořit také minimálně pět let. Pokud je tedy důchodový věk 65 let, může jít žadatel do předdůchodu už v 60 letech, ale spořit musí minimálně od 55 let. A také musí mít na svém penzijním účtu naspořeno tolik peněz, aby měsíční vyplácená penze byla minimálně na úrovni 30 procent průměrné mzdy dané státem. V letošním roce je to pro dvouletý předdůchod více než 280 tisíc Kč, pro pětiletý pak více než 700 tisíc Kč.</w:t>
      </w:r>
    </w:p>
    <w:p w14:paraId="4C9F01A7" w14:textId="113C2D78" w:rsidR="009922F2" w:rsidRDefault="009922F2" w:rsidP="009922F2">
      <w:pPr>
        <w:pStyle w:val="Textbody"/>
        <w:rPr>
          <w:rFonts w:hint="eastAsia"/>
        </w:rPr>
      </w:pPr>
      <w:r>
        <w:rPr>
          <w:rFonts w:ascii="Calibri" w:hAnsi="Calibri" w:cs="Calibri"/>
          <w:color w:val="000000"/>
        </w:rPr>
        <w:t>Předdůchod má svá jasná pravidla a řadu výhod. „</w:t>
      </w:r>
      <w:r>
        <w:rPr>
          <w:rFonts w:ascii="Calibri" w:hAnsi="Calibri" w:cs="Calibri"/>
          <w:i/>
          <w:iCs/>
          <w:color w:val="000000"/>
        </w:rPr>
        <w:t>Pro žadatele o předdůchod je dobrou zprávou, že pojistné na zdravotní pojištění hradí za účastníka v průběhu pobírání předdůchodu stát a doba jeho čerpání ani neovlivňuje osobní vyměřovací základ pro výpočet řádného státního důchodu. V době pobírání předdůchodu je také možné bez omezení pracovat, stejně jako pobírat podporu v nezaměstnanosti nebo nemocenské dávky. Pokud je vyplácen předdůchod, nedaní se příspěvek zaměstnavatele,“</w:t>
      </w:r>
      <w:r>
        <w:rPr>
          <w:rFonts w:ascii="Calibri" w:hAnsi="Calibri" w:cs="Calibri"/>
          <w:color w:val="000000"/>
        </w:rPr>
        <w:t xml:space="preserve"> dodává Jana Petrovská a pro tři typické situace potenciálních předdůchodců má </w:t>
      </w:r>
      <w:hyperlink r:id="rId9" w:history="1">
        <w:r>
          <w:rPr>
            <w:rFonts w:ascii="Calibri" w:hAnsi="Calibri" w:cs="Calibri"/>
            <w:color w:val="000000"/>
          </w:rPr>
          <w:t>několik rad, jak postupovat.</w:t>
        </w:r>
      </w:hyperlink>
      <w:r>
        <w:rPr>
          <w:rFonts w:ascii="Calibri" w:hAnsi="Calibri" w:cs="Calibri"/>
          <w:color w:val="000000"/>
        </w:rPr>
        <w:br/>
      </w:r>
    </w:p>
    <w:p w14:paraId="0B0F3F02" w14:textId="77777777" w:rsidR="009922F2" w:rsidRDefault="009922F2" w:rsidP="009922F2">
      <w:pPr>
        <w:pStyle w:val="Textbody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Chci čerpat předdůchod, ale nemám penzijní spoření</w:t>
      </w:r>
    </w:p>
    <w:p w14:paraId="62F0F34F" w14:textId="77777777" w:rsidR="009922F2" w:rsidRDefault="009922F2" w:rsidP="009922F2">
      <w:pPr>
        <w:pStyle w:val="Textbody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 tomto případě čerpat předdůchod nelze a není ani možné založit si doplňkové penzijní spoření „na poslední chvíli“ a vložit do něho jednorázový vklad, který by pokryl dobu předdůchodu. Takže na tuto eventualitu je třeba myslet včas, protože penzijní spoření musí trvat minimálně 60 měsíců.</w:t>
      </w:r>
    </w:p>
    <w:p w14:paraId="6F55A735" w14:textId="77777777" w:rsidR="009922F2" w:rsidRDefault="009922F2" w:rsidP="009922F2">
      <w:pPr>
        <w:pStyle w:val="Textbody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Chci čerpat předdůchod, mám penzijko déle než 5 let, ale nemám v něm naspořeno dost peněz</w:t>
      </w:r>
    </w:p>
    <w:p w14:paraId="43FC987C" w14:textId="77777777" w:rsidR="009922F2" w:rsidRDefault="009922F2" w:rsidP="009922F2">
      <w:pPr>
        <w:pStyle w:val="Textbody"/>
        <w:rPr>
          <w:rFonts w:hint="eastAsia"/>
        </w:rPr>
      </w:pPr>
      <w:r>
        <w:rPr>
          <w:rFonts w:ascii="Calibri" w:hAnsi="Calibri" w:cs="Calibri"/>
          <w:color w:val="000000"/>
        </w:rPr>
        <w:t>To není takový problém, na svůj účet doplňkového penzijního spoření je možné potřebnou částku kdykoliv doplnit vložením mimořádného vkladu, aby se požadovaná doba předdůchodu finančně pokryla.</w:t>
      </w:r>
    </w:p>
    <w:p w14:paraId="4C72B892" w14:textId="77777777" w:rsidR="009922F2" w:rsidRDefault="009922F2" w:rsidP="009922F2">
      <w:pPr>
        <w:pStyle w:val="Textbody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Chci čerpat předdůchod, mám starý typ smlouvy (penzijní připojištění se státním příspěvkem) i dostatek financí, jak mám postupovat?</w:t>
      </w:r>
    </w:p>
    <w:p w14:paraId="681F859D" w14:textId="77777777" w:rsidR="009922F2" w:rsidRDefault="009922F2" w:rsidP="009922F2">
      <w:pPr>
        <w:pStyle w:val="Textbody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Pokud má účastník „staré“ penzijní připojištění (tzv. transformovaný fond), je možné finanční prostředky i dobu spoření převést ze smlouvy o penzijním připojištění na nově uzavřenou smlouvu o doplňkovém penzijním spoření, a to u stejné penzijní společnosti. Jakmile nová smlouva vznikne, je možné podat žádost o předdůchod. Je však potřeba mít dostatečnou časovou rezervu, protože vyřízení této záležitosti může trvat i půl roku. </w:t>
      </w:r>
    </w:p>
    <w:p w14:paraId="1C55CA4E" w14:textId="77777777" w:rsidR="009922F2" w:rsidRDefault="009922F2" w:rsidP="009922F2">
      <w:pPr>
        <w:pStyle w:val="Textbody"/>
        <w:rPr>
          <w:rFonts w:hint="eastAsia"/>
        </w:rPr>
      </w:pPr>
      <w:r>
        <w:rPr>
          <w:rFonts w:ascii="Calibri" w:hAnsi="Calibri" w:cs="Calibri"/>
          <w:color w:val="000000"/>
        </w:rPr>
        <w:t xml:space="preserve">Jestliže má žadatel už nové DPS a splňuje pětiletou dobu spoření, může podat přímo žádost o předdůchod a lhůta na vyřízení je významně kratší. </w:t>
      </w:r>
      <w:r>
        <w:br/>
      </w:r>
    </w:p>
    <w:p w14:paraId="0E04CC06" w14:textId="5A4708D2" w:rsidR="009922F2" w:rsidRDefault="009922F2" w:rsidP="00656765">
      <w:pPr>
        <w:pStyle w:val="Textbody"/>
        <w:rPr>
          <w:rFonts w:hint="eastAsia"/>
        </w:rPr>
      </w:pPr>
      <w:r>
        <w:rPr>
          <w:rFonts w:ascii="Calibri" w:eastAsia="Times New Roman" w:hAnsi="Calibri" w:cs="Calibri"/>
          <w:b/>
          <w:kern w:val="0"/>
          <w:lang w:eastAsia="cs-CZ"/>
        </w:rPr>
        <w:t xml:space="preserve">Upozornění: </w:t>
      </w:r>
      <w:r>
        <w:rPr>
          <w:rFonts w:ascii="Calibri" w:eastAsia="Times New Roman" w:hAnsi="Calibri" w:cs="Calibri"/>
          <w:bCs/>
          <w:kern w:val="0"/>
          <w:lang w:eastAsia="cs-CZ"/>
        </w:rPr>
        <w:t>Upozorňujeme, že s Doplňkovým penzijním spořením jsou spojena jistá rizika - hodnota investice není garantována a může kolísat v závislosti na vývoji trhu.</w:t>
      </w:r>
    </w:p>
    <w:p w14:paraId="0E646EA8" w14:textId="611EC217" w:rsidR="008E5786" w:rsidRDefault="008E5786" w:rsidP="00351FF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1436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" strokecolor="#bfbfbf [2412]" strokeweight=".5pt">
                <v:stroke joinstyle="miter"/>
              </v:line>
            </w:pict>
          </mc:Fallback>
        </mc:AlternateContent>
      </w:r>
    </w:p>
    <w:p w14:paraId="61CEEAA5" w14:textId="77777777" w:rsidR="009371B1" w:rsidRDefault="009371B1" w:rsidP="009371B1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9371B1" w14:paraId="44FE3005" w14:textId="77777777" w:rsidTr="002F2FBE">
        <w:tc>
          <w:tcPr>
            <w:tcW w:w="3209" w:type="dxa"/>
          </w:tcPr>
          <w:p w14:paraId="5A0CAF1B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  <w:r>
              <w:rPr>
                <w:sz w:val="18"/>
                <w:szCs w:val="18"/>
              </w:rPr>
              <w:t xml:space="preserve"> </w:t>
            </w:r>
          </w:p>
          <w:p w14:paraId="33A67F9E" w14:textId="77777777" w:rsidR="009371B1" w:rsidRPr="00014683" w:rsidRDefault="00000000" w:rsidP="002F2FBE">
            <w:pPr>
              <w:rPr>
                <w:sz w:val="18"/>
                <w:szCs w:val="18"/>
              </w:rPr>
            </w:pPr>
            <w:hyperlink r:id="rId10" w:history="1">
              <w:r w:rsidR="009371B1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157A9DF4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09" w:type="dxa"/>
          </w:tcPr>
          <w:p w14:paraId="1C0A4D0B" w14:textId="77777777" w:rsidR="009371B1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523A69B3" w14:textId="77777777" w:rsidR="009371B1" w:rsidRPr="00014683" w:rsidRDefault="00000000" w:rsidP="002F2FBE">
            <w:pPr>
              <w:rPr>
                <w:sz w:val="18"/>
                <w:szCs w:val="18"/>
              </w:rPr>
            </w:pPr>
            <w:hyperlink r:id="rId11" w:history="1">
              <w:r w:rsidR="009371B1"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25F5D58A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  <w:tc>
          <w:tcPr>
            <w:tcW w:w="3210" w:type="dxa"/>
          </w:tcPr>
          <w:p w14:paraId="630DDCFB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Tomá</w:t>
            </w:r>
            <w:r>
              <w:rPr>
                <w:sz w:val="18"/>
                <w:szCs w:val="18"/>
              </w:rPr>
              <w:t>š</w:t>
            </w:r>
            <w:r w:rsidRPr="00014683">
              <w:rPr>
                <w:sz w:val="18"/>
                <w:szCs w:val="18"/>
              </w:rPr>
              <w:t xml:space="preserve"> Zavoral</w:t>
            </w:r>
            <w:r w:rsidRPr="00014683">
              <w:rPr>
                <w:sz w:val="18"/>
                <w:szCs w:val="18"/>
              </w:rPr>
              <w:br/>
            </w:r>
            <w:hyperlink r:id="rId12" w:history="1">
              <w:r w:rsidRPr="001D238E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25E37ED3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  <w:p w14:paraId="23851EE0" w14:textId="77777777" w:rsidR="009371B1" w:rsidRPr="00014683" w:rsidRDefault="009371B1" w:rsidP="002F2FBE">
            <w:pPr>
              <w:rPr>
                <w:sz w:val="18"/>
                <w:szCs w:val="18"/>
              </w:rPr>
            </w:pPr>
          </w:p>
        </w:tc>
      </w:tr>
    </w:tbl>
    <w:p w14:paraId="1A1397D5" w14:textId="5C01F83F" w:rsidR="008E5786" w:rsidRPr="00351FF5" w:rsidRDefault="008E5786" w:rsidP="00351FF5">
      <w:pPr>
        <w:rPr>
          <w:szCs w:val="22"/>
        </w:rPr>
      </w:pPr>
    </w:p>
    <w:sectPr w:rsidR="008E5786" w:rsidRPr="00351FF5" w:rsidSect="008E5786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325E" w14:textId="77777777" w:rsidR="009E4EA1" w:rsidRDefault="009E4EA1" w:rsidP="00014683">
      <w:pPr>
        <w:spacing w:line="240" w:lineRule="auto"/>
      </w:pPr>
      <w:r>
        <w:separator/>
      </w:r>
    </w:p>
  </w:endnote>
  <w:endnote w:type="continuationSeparator" w:id="0">
    <w:p w14:paraId="4F358C21" w14:textId="77777777" w:rsidR="009E4EA1" w:rsidRDefault="009E4EA1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655F5055" w:rsidR="00166D04" w:rsidRDefault="00166D04" w:rsidP="00166D04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34FE9148" wp14:editId="31B9EEDE">
                <wp:extent cx="520700" cy="520700"/>
                <wp:effectExtent l="0" t="0" r="0" b="0"/>
                <wp:docPr id="8" name="Picture 8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Diagram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6E67EC6C" wp14:editId="42D17B0A">
                <wp:extent cx="762000" cy="520700"/>
                <wp:effectExtent l="0" t="0" r="0" b="0"/>
                <wp:docPr id="9" name="Picture 9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graphical user interface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000000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4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6B9E7B3E">
                <wp:extent cx="215265" cy="215265"/>
                <wp:effectExtent l="0" t="0" r="635" b="0"/>
                <wp:docPr id="14" name="Picture 1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382063B9">
                <wp:extent cx="215900" cy="215900"/>
                <wp:effectExtent l="0" t="0" r="0" b="0"/>
                <wp:docPr id="15" name="Picture 1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18003938">
                <wp:extent cx="215900" cy="215900"/>
                <wp:effectExtent l="0" t="0" r="0" b="0"/>
                <wp:docPr id="16" name="Picture 1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46D4E8B9">
                <wp:extent cx="215265" cy="215265"/>
                <wp:effectExtent l="0" t="0" r="0" b="635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804A" w14:textId="77777777" w:rsidR="009E4EA1" w:rsidRDefault="009E4EA1" w:rsidP="00014683">
      <w:pPr>
        <w:spacing w:line="240" w:lineRule="auto"/>
      </w:pPr>
      <w:r>
        <w:separator/>
      </w:r>
    </w:p>
  </w:footnote>
  <w:footnote w:type="continuationSeparator" w:id="0">
    <w:p w14:paraId="671253C4" w14:textId="77777777" w:rsidR="009E4EA1" w:rsidRDefault="009E4EA1" w:rsidP="00014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77DB"/>
    <w:multiLevelType w:val="hybridMultilevel"/>
    <w:tmpl w:val="D5800732"/>
    <w:lvl w:ilvl="0" w:tplc="B388016C"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C72F8"/>
    <w:multiLevelType w:val="multilevel"/>
    <w:tmpl w:val="BAB0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53E04"/>
    <w:multiLevelType w:val="hybridMultilevel"/>
    <w:tmpl w:val="97C86F4C"/>
    <w:lvl w:ilvl="0" w:tplc="70F4BD0A"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70806"/>
    <w:multiLevelType w:val="hybridMultilevel"/>
    <w:tmpl w:val="151E8B7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06565"/>
    <w:multiLevelType w:val="hybridMultilevel"/>
    <w:tmpl w:val="1AF69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25C8E"/>
    <w:multiLevelType w:val="hybridMultilevel"/>
    <w:tmpl w:val="AB00AE3C"/>
    <w:lvl w:ilvl="0" w:tplc="1F5E99BE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64E6D"/>
    <w:multiLevelType w:val="hybridMultilevel"/>
    <w:tmpl w:val="E09A2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F037C"/>
    <w:multiLevelType w:val="multilevel"/>
    <w:tmpl w:val="CEE8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440EA1"/>
    <w:multiLevelType w:val="hybridMultilevel"/>
    <w:tmpl w:val="E62A6A12"/>
    <w:lvl w:ilvl="0" w:tplc="B6429B94"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A3809"/>
    <w:multiLevelType w:val="multilevel"/>
    <w:tmpl w:val="E7E2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3148782">
    <w:abstractNumId w:val="5"/>
  </w:num>
  <w:num w:numId="2" w16cid:durableId="302126232">
    <w:abstractNumId w:val="4"/>
  </w:num>
  <w:num w:numId="3" w16cid:durableId="572617951">
    <w:abstractNumId w:val="7"/>
  </w:num>
  <w:num w:numId="4" w16cid:durableId="4213669">
    <w:abstractNumId w:val="8"/>
  </w:num>
  <w:num w:numId="5" w16cid:durableId="1337686491">
    <w:abstractNumId w:val="10"/>
  </w:num>
  <w:num w:numId="6" w16cid:durableId="1713112515">
    <w:abstractNumId w:val="3"/>
  </w:num>
  <w:num w:numId="7" w16cid:durableId="1510556139">
    <w:abstractNumId w:val="12"/>
  </w:num>
  <w:num w:numId="8" w16cid:durableId="356278373">
    <w:abstractNumId w:val="1"/>
  </w:num>
  <w:num w:numId="9" w16cid:durableId="1481340400">
    <w:abstractNumId w:val="2"/>
  </w:num>
  <w:num w:numId="10" w16cid:durableId="274218653">
    <w:abstractNumId w:val="11"/>
  </w:num>
  <w:num w:numId="11" w16cid:durableId="587930594">
    <w:abstractNumId w:val="0"/>
  </w:num>
  <w:num w:numId="12" w16cid:durableId="133912756">
    <w:abstractNumId w:val="6"/>
  </w:num>
  <w:num w:numId="13" w16cid:durableId="7897121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11196"/>
    <w:rsid w:val="0001295E"/>
    <w:rsid w:val="00014683"/>
    <w:rsid w:val="00015774"/>
    <w:rsid w:val="00024069"/>
    <w:rsid w:val="000542D7"/>
    <w:rsid w:val="00091EA8"/>
    <w:rsid w:val="000972FB"/>
    <w:rsid w:val="000E6239"/>
    <w:rsid w:val="00136604"/>
    <w:rsid w:val="0015204E"/>
    <w:rsid w:val="00166D04"/>
    <w:rsid w:val="001750AE"/>
    <w:rsid w:val="001B3C9F"/>
    <w:rsid w:val="001B5CBF"/>
    <w:rsid w:val="001C5B9A"/>
    <w:rsid w:val="001D61B5"/>
    <w:rsid w:val="001D7BF5"/>
    <w:rsid w:val="001F2033"/>
    <w:rsid w:val="001F4B73"/>
    <w:rsid w:val="00212689"/>
    <w:rsid w:val="002132E9"/>
    <w:rsid w:val="0023797F"/>
    <w:rsid w:val="0024724A"/>
    <w:rsid w:val="00263D28"/>
    <w:rsid w:val="00296C09"/>
    <w:rsid w:val="002A0EF7"/>
    <w:rsid w:val="002B4EA0"/>
    <w:rsid w:val="002C6E27"/>
    <w:rsid w:val="002C6FE6"/>
    <w:rsid w:val="003109A1"/>
    <w:rsid w:val="003320A3"/>
    <w:rsid w:val="00351FF5"/>
    <w:rsid w:val="0036172B"/>
    <w:rsid w:val="00365BAD"/>
    <w:rsid w:val="0038759C"/>
    <w:rsid w:val="00395647"/>
    <w:rsid w:val="003A653C"/>
    <w:rsid w:val="003A7AA9"/>
    <w:rsid w:val="003C22DF"/>
    <w:rsid w:val="003E38D1"/>
    <w:rsid w:val="003F0C8C"/>
    <w:rsid w:val="00402E54"/>
    <w:rsid w:val="00407642"/>
    <w:rsid w:val="004209EA"/>
    <w:rsid w:val="00457369"/>
    <w:rsid w:val="00472751"/>
    <w:rsid w:val="0048414B"/>
    <w:rsid w:val="00495DF2"/>
    <w:rsid w:val="004C5B64"/>
    <w:rsid w:val="004D1CAC"/>
    <w:rsid w:val="004D21EF"/>
    <w:rsid w:val="00502BF5"/>
    <w:rsid w:val="00505F45"/>
    <w:rsid w:val="0051554D"/>
    <w:rsid w:val="00515FDE"/>
    <w:rsid w:val="005176BF"/>
    <w:rsid w:val="0052034E"/>
    <w:rsid w:val="00525B9A"/>
    <w:rsid w:val="005269F1"/>
    <w:rsid w:val="00544872"/>
    <w:rsid w:val="0055009D"/>
    <w:rsid w:val="00557C4C"/>
    <w:rsid w:val="00573A72"/>
    <w:rsid w:val="005806F1"/>
    <w:rsid w:val="00580ABD"/>
    <w:rsid w:val="005A64BD"/>
    <w:rsid w:val="005D571A"/>
    <w:rsid w:val="005E176C"/>
    <w:rsid w:val="005F4BA3"/>
    <w:rsid w:val="00610AAF"/>
    <w:rsid w:val="00612946"/>
    <w:rsid w:val="0062792D"/>
    <w:rsid w:val="00635CC9"/>
    <w:rsid w:val="00641B30"/>
    <w:rsid w:val="00652624"/>
    <w:rsid w:val="006540FD"/>
    <w:rsid w:val="00656765"/>
    <w:rsid w:val="0066006A"/>
    <w:rsid w:val="00684D56"/>
    <w:rsid w:val="00684DDC"/>
    <w:rsid w:val="006A3CAF"/>
    <w:rsid w:val="006B628A"/>
    <w:rsid w:val="006D4032"/>
    <w:rsid w:val="006E266E"/>
    <w:rsid w:val="007137E4"/>
    <w:rsid w:val="0072746C"/>
    <w:rsid w:val="007658FD"/>
    <w:rsid w:val="007718ED"/>
    <w:rsid w:val="007E64CA"/>
    <w:rsid w:val="00800507"/>
    <w:rsid w:val="00807FDC"/>
    <w:rsid w:val="00822C30"/>
    <w:rsid w:val="00881C7E"/>
    <w:rsid w:val="00885357"/>
    <w:rsid w:val="008B6017"/>
    <w:rsid w:val="008E2FD9"/>
    <w:rsid w:val="008E49F7"/>
    <w:rsid w:val="008E5786"/>
    <w:rsid w:val="00916B99"/>
    <w:rsid w:val="009218CF"/>
    <w:rsid w:val="00922ADA"/>
    <w:rsid w:val="00933504"/>
    <w:rsid w:val="009371B1"/>
    <w:rsid w:val="00944DCC"/>
    <w:rsid w:val="00945BEC"/>
    <w:rsid w:val="00957F54"/>
    <w:rsid w:val="00962CF3"/>
    <w:rsid w:val="009773B2"/>
    <w:rsid w:val="009922F2"/>
    <w:rsid w:val="009E06DC"/>
    <w:rsid w:val="009E4EA1"/>
    <w:rsid w:val="009F10C4"/>
    <w:rsid w:val="009F15D8"/>
    <w:rsid w:val="00A17351"/>
    <w:rsid w:val="00A26982"/>
    <w:rsid w:val="00A33C90"/>
    <w:rsid w:val="00A42075"/>
    <w:rsid w:val="00A5007D"/>
    <w:rsid w:val="00A75309"/>
    <w:rsid w:val="00A7671E"/>
    <w:rsid w:val="00A86894"/>
    <w:rsid w:val="00AB40E8"/>
    <w:rsid w:val="00AC6B6B"/>
    <w:rsid w:val="00AE3B76"/>
    <w:rsid w:val="00AE7B35"/>
    <w:rsid w:val="00AF1209"/>
    <w:rsid w:val="00AF53CA"/>
    <w:rsid w:val="00B0193F"/>
    <w:rsid w:val="00B0339B"/>
    <w:rsid w:val="00B17703"/>
    <w:rsid w:val="00B24BD4"/>
    <w:rsid w:val="00B402F6"/>
    <w:rsid w:val="00B57A35"/>
    <w:rsid w:val="00B63BA1"/>
    <w:rsid w:val="00B74A09"/>
    <w:rsid w:val="00BB1E3C"/>
    <w:rsid w:val="00BC34A3"/>
    <w:rsid w:val="00BC5F8D"/>
    <w:rsid w:val="00BD600F"/>
    <w:rsid w:val="00BE12E0"/>
    <w:rsid w:val="00C0015C"/>
    <w:rsid w:val="00C32319"/>
    <w:rsid w:val="00C35A8B"/>
    <w:rsid w:val="00C57BCC"/>
    <w:rsid w:val="00C67AB0"/>
    <w:rsid w:val="00C837F9"/>
    <w:rsid w:val="00C8408A"/>
    <w:rsid w:val="00CA1CD3"/>
    <w:rsid w:val="00CA6E13"/>
    <w:rsid w:val="00CB36EB"/>
    <w:rsid w:val="00CC13E7"/>
    <w:rsid w:val="00CC2FC1"/>
    <w:rsid w:val="00CD2BBC"/>
    <w:rsid w:val="00CE2955"/>
    <w:rsid w:val="00D040B2"/>
    <w:rsid w:val="00D12F17"/>
    <w:rsid w:val="00D2642F"/>
    <w:rsid w:val="00D51941"/>
    <w:rsid w:val="00D54E6F"/>
    <w:rsid w:val="00D54F20"/>
    <w:rsid w:val="00D74128"/>
    <w:rsid w:val="00D87233"/>
    <w:rsid w:val="00DA41CE"/>
    <w:rsid w:val="00DB1949"/>
    <w:rsid w:val="00DB4B06"/>
    <w:rsid w:val="00DB5F00"/>
    <w:rsid w:val="00DC307C"/>
    <w:rsid w:val="00DF319F"/>
    <w:rsid w:val="00DF378B"/>
    <w:rsid w:val="00DF6278"/>
    <w:rsid w:val="00E04801"/>
    <w:rsid w:val="00E0736F"/>
    <w:rsid w:val="00E10F41"/>
    <w:rsid w:val="00E50509"/>
    <w:rsid w:val="00E51958"/>
    <w:rsid w:val="00E64217"/>
    <w:rsid w:val="00E66168"/>
    <w:rsid w:val="00E80D51"/>
    <w:rsid w:val="00ED5E0E"/>
    <w:rsid w:val="00EE2885"/>
    <w:rsid w:val="00F16C2C"/>
    <w:rsid w:val="00F2181A"/>
    <w:rsid w:val="00F26906"/>
    <w:rsid w:val="00F40D83"/>
    <w:rsid w:val="00F42CC5"/>
    <w:rsid w:val="00FC05D9"/>
    <w:rsid w:val="00FC2EA9"/>
    <w:rsid w:val="00FC3891"/>
    <w:rsid w:val="00FD3B66"/>
    <w:rsid w:val="00FE5F6D"/>
    <w:rsid w:val="060EB55E"/>
    <w:rsid w:val="07AA85BF"/>
    <w:rsid w:val="08FB6B36"/>
    <w:rsid w:val="09F65114"/>
    <w:rsid w:val="3733A8D8"/>
    <w:rsid w:val="38CF7939"/>
    <w:rsid w:val="3BC7D559"/>
    <w:rsid w:val="4C8FB9DD"/>
    <w:rsid w:val="684DDDCE"/>
    <w:rsid w:val="70CF529A"/>
    <w:rsid w:val="78CF1414"/>
    <w:rsid w:val="7D53A884"/>
    <w:rsid w:val="7FDE9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0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F20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1C5B9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1C5B9A"/>
    <w:pPr>
      <w:ind w:left="720"/>
      <w:contextualSpacing/>
    </w:pPr>
  </w:style>
  <w:style w:type="character" w:customStyle="1" w:styleId="ui-provider">
    <w:name w:val="ui-provider"/>
    <w:basedOn w:val="Standardnpsmoodstavce"/>
    <w:rsid w:val="00FD3B66"/>
  </w:style>
  <w:style w:type="table" w:customStyle="1" w:styleId="Tabulkasmkou4zvraznn31">
    <w:name w:val="Tabulka s mřížkou 4 – zvýraznění 31"/>
    <w:basedOn w:val="Normlntabulka"/>
    <w:uiPriority w:val="49"/>
    <w:rsid w:val="00D87233"/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4209EA"/>
    <w:pPr>
      <w:spacing w:line="240" w:lineRule="auto"/>
    </w:pPr>
    <w:rPr>
      <w:rFonts w:ascii="Calibri" w:eastAsia="Calibri" w:hAnsi="Calibri" w:cs="Calibri"/>
      <w:kern w:val="0"/>
      <w:szCs w:val="22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4209EA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06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1F2033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customStyle="1" w:styleId="Textbody">
    <w:name w:val="Text body"/>
    <w:basedOn w:val="Normln"/>
    <w:rsid w:val="009922F2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mas_zavoral@kb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_teubner@kb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rka_nevoralova@k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b.cz/cs/obcane/kb-radce/zhodnoceni-financi/predduchod-&#8211;-jak-seknout-s-praci-az-o-5-let-dri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https://kb.cz/cs/o-bance/pro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Jakub Knapp</cp:lastModifiedBy>
  <cp:revision>6</cp:revision>
  <dcterms:created xsi:type="dcterms:W3CDTF">2023-09-27T10:50:00Z</dcterms:created>
  <dcterms:modified xsi:type="dcterms:W3CDTF">2023-09-27T12:10:00Z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2023-09-27T11:10:31Z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c0fe2600-a59f-487a-8b83-c2efd1728d9d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