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99CD" w14:textId="2473D924" w:rsidR="0077767E" w:rsidRDefault="000A071C">
      <w:pPr>
        <w:rPr>
          <w:sz w:val="32"/>
        </w:rPr>
      </w:pPr>
      <w:r>
        <w:rPr>
          <w:noProof/>
          <w:sz w:val="32"/>
        </w:rPr>
        <w:drawing>
          <wp:anchor distT="0" distB="0" distL="0" distR="0" simplePos="0" relativeHeight="2" behindDoc="1" locked="0" layoutInCell="0" allowOverlap="1" wp14:anchorId="2FF12281" wp14:editId="50C58ABA">
            <wp:simplePos x="0" y="0"/>
            <wp:positionH relativeFrom="column">
              <wp:posOffset>-551180</wp:posOffset>
            </wp:positionH>
            <wp:positionV relativeFrom="paragraph">
              <wp:posOffset>-211455</wp:posOffset>
            </wp:positionV>
            <wp:extent cx="6834505" cy="574675"/>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rcRect l="1000" t="11794"/>
                    <a:stretch>
                      <a:fillRect/>
                    </a:stretch>
                  </pic:blipFill>
                  <pic:spPr bwMode="auto">
                    <a:xfrm>
                      <a:off x="0" y="0"/>
                      <a:ext cx="6834505" cy="574675"/>
                    </a:xfrm>
                    <a:prstGeom prst="rect">
                      <a:avLst/>
                    </a:prstGeom>
                  </pic:spPr>
                </pic:pic>
              </a:graphicData>
            </a:graphic>
          </wp:anchor>
        </w:drawing>
      </w:r>
    </w:p>
    <w:p w14:paraId="4D3D1388" w14:textId="77777777" w:rsidR="0077767E" w:rsidRDefault="0077767E">
      <w:pPr>
        <w:spacing w:before="360" w:after="360"/>
        <w:jc w:val="center"/>
        <w:rPr>
          <w:rFonts w:ascii="Georgia" w:hAnsi="Georgia"/>
          <w:b/>
          <w:sz w:val="56"/>
        </w:rPr>
      </w:pPr>
    </w:p>
    <w:p w14:paraId="3B231BE1" w14:textId="77777777" w:rsidR="0077767E" w:rsidRDefault="000A071C">
      <w:pPr>
        <w:spacing w:before="360" w:after="360"/>
        <w:rPr>
          <w:rFonts w:ascii="Arial" w:hAnsi="Arial" w:cs="Arial"/>
          <w:b/>
          <w:sz w:val="24"/>
        </w:rPr>
      </w:pPr>
      <w:r>
        <w:rPr>
          <w:rFonts w:ascii="Arial" w:hAnsi="Arial" w:cs="Arial"/>
          <w:b/>
          <w:sz w:val="24"/>
        </w:rPr>
        <w:t>TISKOVÁ ZPRÁVA</w:t>
      </w:r>
    </w:p>
    <w:p w14:paraId="4CF1478D" w14:textId="7A63154C" w:rsidR="0077767E" w:rsidRDefault="000A071C">
      <w:pPr>
        <w:spacing w:before="360" w:after="360"/>
        <w:jc w:val="right"/>
        <w:rPr>
          <w:rFonts w:ascii="Arial" w:hAnsi="Arial" w:cs="Arial"/>
          <w:sz w:val="24"/>
        </w:rPr>
      </w:pPr>
      <w:r>
        <w:rPr>
          <w:rFonts w:ascii="Arial" w:hAnsi="Arial" w:cs="Arial"/>
          <w:sz w:val="24"/>
        </w:rPr>
        <w:t xml:space="preserve">V Praze </w:t>
      </w:r>
      <w:r w:rsidR="00E430A9">
        <w:rPr>
          <w:rFonts w:ascii="Arial" w:hAnsi="Arial" w:cs="Arial"/>
          <w:sz w:val="24"/>
        </w:rPr>
        <w:t>22</w:t>
      </w:r>
      <w:r w:rsidR="000E76EE">
        <w:rPr>
          <w:rFonts w:ascii="Arial" w:hAnsi="Arial" w:cs="Arial"/>
          <w:sz w:val="24"/>
        </w:rPr>
        <w:t xml:space="preserve">. </w:t>
      </w:r>
      <w:r w:rsidR="00E430A9">
        <w:rPr>
          <w:rFonts w:ascii="Arial" w:hAnsi="Arial" w:cs="Arial"/>
          <w:sz w:val="24"/>
        </w:rPr>
        <w:t>1</w:t>
      </w:r>
      <w:r w:rsidR="0030161A">
        <w:rPr>
          <w:rFonts w:ascii="Arial" w:hAnsi="Arial" w:cs="Arial"/>
          <w:sz w:val="24"/>
        </w:rPr>
        <w:t>.</w:t>
      </w:r>
      <w:r>
        <w:rPr>
          <w:rFonts w:ascii="Arial" w:hAnsi="Arial" w:cs="Arial"/>
          <w:sz w:val="24"/>
        </w:rPr>
        <w:t xml:space="preserve"> </w:t>
      </w:r>
      <w:r w:rsidR="00E430A9">
        <w:rPr>
          <w:rFonts w:ascii="Arial" w:hAnsi="Arial" w:cs="Arial"/>
          <w:sz w:val="24"/>
        </w:rPr>
        <w:t>2025</w:t>
      </w:r>
    </w:p>
    <w:p w14:paraId="3ABED2DB" w14:textId="7B1992AF" w:rsidR="0030161A" w:rsidRPr="0030161A" w:rsidRDefault="0030161A" w:rsidP="00965ECF">
      <w:pPr>
        <w:rPr>
          <w:rFonts w:ascii="Georgia" w:hAnsi="Georgia"/>
          <w:b/>
          <w:sz w:val="48"/>
        </w:rPr>
      </w:pPr>
      <w:bookmarkStart w:id="0" w:name="_Hlk1036627441"/>
      <w:bookmarkEnd w:id="0"/>
      <w:r w:rsidRPr="0030161A">
        <w:rPr>
          <w:rFonts w:ascii="Georgia" w:hAnsi="Georgia"/>
          <w:b/>
          <w:sz w:val="48"/>
        </w:rPr>
        <w:t xml:space="preserve">Že se invalidita nebo snížená soběstačnost týká hlavně seniorů? Omyl, invalidními důchodci </w:t>
      </w:r>
      <w:r w:rsidR="00587018">
        <w:rPr>
          <w:rFonts w:ascii="Georgia" w:hAnsi="Georgia"/>
          <w:b/>
          <w:sz w:val="48"/>
        </w:rPr>
        <w:t>mohou být</w:t>
      </w:r>
      <w:r w:rsidRPr="0030161A">
        <w:rPr>
          <w:rFonts w:ascii="Georgia" w:hAnsi="Georgia"/>
          <w:b/>
          <w:sz w:val="48"/>
        </w:rPr>
        <w:t xml:space="preserve"> i děti</w:t>
      </w:r>
    </w:p>
    <w:p w14:paraId="45ABFEEA" w14:textId="69556107" w:rsidR="0030161A" w:rsidRPr="0030161A" w:rsidRDefault="00965ECF" w:rsidP="00965ECF">
      <w:pPr>
        <w:jc w:val="both"/>
        <w:rPr>
          <w:rFonts w:ascii="Arial" w:hAnsi="Arial" w:cs="Arial"/>
          <w:b/>
          <w:bCs/>
          <w:sz w:val="24"/>
          <w:szCs w:val="24"/>
        </w:rPr>
      </w:pPr>
      <w:r>
        <w:rPr>
          <w:rFonts w:ascii="Arial" w:hAnsi="Arial" w:cs="Arial"/>
          <w:b/>
          <w:bCs/>
          <w:sz w:val="24"/>
          <w:szCs w:val="24"/>
        </w:rPr>
        <w:br/>
      </w:r>
      <w:r w:rsidR="0030161A" w:rsidRPr="0030161A">
        <w:rPr>
          <w:rFonts w:ascii="Arial" w:hAnsi="Arial" w:cs="Arial"/>
          <w:b/>
          <w:bCs/>
          <w:sz w:val="24"/>
          <w:szCs w:val="24"/>
        </w:rPr>
        <w:t xml:space="preserve">V roce 2023 bylo podle </w:t>
      </w:r>
      <w:hyperlink r:id="rId9" w:history="1">
        <w:r w:rsidR="0030161A" w:rsidRPr="0030161A">
          <w:rPr>
            <w:rStyle w:val="Hypertextovodkaz"/>
            <w:rFonts w:ascii="Arial" w:hAnsi="Arial" w:cs="Arial"/>
            <w:b/>
            <w:bCs/>
            <w:sz w:val="24"/>
            <w:szCs w:val="24"/>
          </w:rPr>
          <w:t>údajů České správy sociálního zabezpečení</w:t>
        </w:r>
      </w:hyperlink>
      <w:r w:rsidR="0030161A" w:rsidRPr="0030161A">
        <w:rPr>
          <w:rFonts w:ascii="Arial" w:hAnsi="Arial" w:cs="Arial"/>
          <w:b/>
          <w:bCs/>
          <w:sz w:val="24"/>
          <w:szCs w:val="24"/>
        </w:rPr>
        <w:t xml:space="preserve"> vypláceno dětem a mladým lidem do 24 let téměř 12 tisíc invalidních důchodů způsobených nemocemi. Nejvíce důchodů, přes 7,5 tisíce z nich mají na svědomí nejrůznější duševní poruchy, a to zejména ve věkové kategorii 20–24 let. Na druhém místě jsou s velkým odstupem neurologická onemocnění, jako jsou epilepsie, poruchy hybnosti, svalová dystrofie a další. Třetí místo obsadily nemoci svalové a kosterní soustavy. </w:t>
      </w:r>
    </w:p>
    <w:p w14:paraId="725F2B4D" w14:textId="77777777" w:rsidR="0030161A" w:rsidRPr="0030161A" w:rsidRDefault="0030161A" w:rsidP="00965ECF">
      <w:pPr>
        <w:jc w:val="both"/>
        <w:rPr>
          <w:rFonts w:ascii="Arial" w:hAnsi="Arial" w:cs="Arial"/>
          <w:b/>
          <w:bCs/>
          <w:sz w:val="24"/>
          <w:szCs w:val="24"/>
        </w:rPr>
      </w:pPr>
      <w:r w:rsidRPr="0030161A">
        <w:rPr>
          <w:rFonts w:ascii="Arial" w:hAnsi="Arial" w:cs="Arial"/>
          <w:sz w:val="24"/>
          <w:szCs w:val="24"/>
        </w:rPr>
        <w:t xml:space="preserve">K dalším příčinám dětské invalidity kromě zmíněné nejčastější trojice nemocí patří také závažná onemocnění srdce a oběhové soustavy, zhoubné novotvary a v malé míře také úrazy. </w:t>
      </w:r>
    </w:p>
    <w:p w14:paraId="480D1013" w14:textId="55B159A5" w:rsidR="0030161A" w:rsidRPr="0030161A" w:rsidRDefault="00F05F26" w:rsidP="00965ECF">
      <w:pPr>
        <w:jc w:val="both"/>
        <w:rPr>
          <w:rFonts w:ascii="Arial" w:hAnsi="Arial" w:cs="Arial"/>
          <w:sz w:val="24"/>
          <w:szCs w:val="24"/>
        </w:rPr>
      </w:pPr>
      <w:r>
        <w:rPr>
          <w:rFonts w:ascii="Arial" w:hAnsi="Arial" w:cs="Arial"/>
          <w:sz w:val="24"/>
          <w:szCs w:val="24"/>
        </w:rPr>
        <w:t>Ž</w:t>
      </w:r>
      <w:r w:rsidR="0030161A" w:rsidRPr="0030161A">
        <w:rPr>
          <w:rFonts w:ascii="Arial" w:hAnsi="Arial" w:cs="Arial"/>
          <w:sz w:val="24"/>
          <w:szCs w:val="24"/>
        </w:rPr>
        <w:t xml:space="preserve">ádný rodič si nechce připustit a nepřipouští příčiny, které vedou k invaliditě a s ní spojené snížené soběstačnosti, ale mohou nastat a nastávají. Jejich riziko je odvislé od řady faktorů, ať už je to věk, pohlaví, způsob života a typ aktivit, které dítě provozuje. </w:t>
      </w:r>
    </w:p>
    <w:p w14:paraId="382E8058" w14:textId="77777777" w:rsidR="0030161A" w:rsidRPr="0030161A" w:rsidRDefault="0030161A" w:rsidP="00965ECF">
      <w:pPr>
        <w:jc w:val="both"/>
        <w:rPr>
          <w:rFonts w:ascii="Arial" w:hAnsi="Arial" w:cs="Arial"/>
          <w:sz w:val="24"/>
          <w:szCs w:val="24"/>
        </w:rPr>
      </w:pPr>
      <w:r w:rsidRPr="0030161A">
        <w:rPr>
          <w:rFonts w:ascii="Arial" w:hAnsi="Arial" w:cs="Arial"/>
          <w:sz w:val="24"/>
          <w:szCs w:val="24"/>
        </w:rPr>
        <w:t>Statistiky poukazují na dvě specifická období, kdy je pravděpodobnost vzniku invalidity nebo snížené soběstačnosti vyšší.</w:t>
      </w:r>
      <w:r w:rsidRPr="0030161A">
        <w:rPr>
          <w:rFonts w:ascii="Arial" w:hAnsi="Arial" w:cs="Arial"/>
          <w:b/>
          <w:bCs/>
          <w:sz w:val="24"/>
          <w:szCs w:val="24"/>
        </w:rPr>
        <w:t xml:space="preserve"> </w:t>
      </w:r>
      <w:r w:rsidRPr="0030161A">
        <w:rPr>
          <w:rFonts w:ascii="Arial" w:hAnsi="Arial" w:cs="Arial"/>
          <w:sz w:val="24"/>
          <w:szCs w:val="24"/>
        </w:rPr>
        <w:t>Prvním je</w:t>
      </w:r>
      <w:r w:rsidRPr="0030161A">
        <w:rPr>
          <w:rFonts w:ascii="Arial" w:hAnsi="Arial" w:cs="Arial"/>
          <w:b/>
          <w:bCs/>
          <w:sz w:val="24"/>
          <w:szCs w:val="24"/>
        </w:rPr>
        <w:t xml:space="preserve"> </w:t>
      </w:r>
      <w:r w:rsidRPr="0030161A">
        <w:rPr>
          <w:rFonts w:ascii="Arial" w:hAnsi="Arial" w:cs="Arial"/>
          <w:sz w:val="24"/>
          <w:szCs w:val="24"/>
        </w:rPr>
        <w:t xml:space="preserve">předškolní a raný školní věk, kdy se poprvé ve zvýšené míře u dětí objevují nádorová onemocnění nebo vážné neurologické poruchy. V pubertě a dospívání pak děti začínají čelit některým duševním onemocněním. Patří sem těžké úzkostné poruchy, deprese nebo schizofrenie. V tomto věku nastává i vyšší riziko úrazů, zejména těch sportovních nebo dopravních, což je spojeno s narůstající mírou aktivity a nezávislosti. </w:t>
      </w:r>
    </w:p>
    <w:p w14:paraId="6AFE88D5" w14:textId="77777777" w:rsidR="0030161A" w:rsidRPr="0030161A" w:rsidRDefault="0030161A" w:rsidP="00965ECF">
      <w:pPr>
        <w:jc w:val="both"/>
        <w:rPr>
          <w:rFonts w:ascii="Arial" w:hAnsi="Arial" w:cs="Arial"/>
          <w:sz w:val="24"/>
          <w:szCs w:val="24"/>
        </w:rPr>
      </w:pPr>
      <w:r w:rsidRPr="0030161A">
        <w:rPr>
          <w:rFonts w:ascii="Arial" w:hAnsi="Arial" w:cs="Arial"/>
          <w:i/>
          <w:iCs/>
          <w:sz w:val="24"/>
          <w:szCs w:val="24"/>
        </w:rPr>
        <w:t xml:space="preserve">„S prvním rizikovějším obdobím koresponduje i průměrný věk dětí, které vstupují do pojištění, a to kolem 5. narozenin. Co je ale zajímavé, z našich statistik vyplynulo také to, že pro 17 % pojištěných dětí sjednali rodiče či prarodiče životní pojištění ještě před jejich prvními narozeninami,“ </w:t>
      </w:r>
      <w:r w:rsidRPr="0030161A">
        <w:rPr>
          <w:rFonts w:ascii="Arial" w:hAnsi="Arial" w:cs="Arial"/>
          <w:sz w:val="24"/>
          <w:szCs w:val="24"/>
        </w:rPr>
        <w:t xml:space="preserve">říká Eliška Nechanická Březinová, produktová manažerka </w:t>
      </w:r>
      <w:proofErr w:type="spellStart"/>
      <w:r w:rsidRPr="0030161A">
        <w:rPr>
          <w:rFonts w:ascii="Arial" w:hAnsi="Arial" w:cs="Arial"/>
          <w:sz w:val="24"/>
          <w:szCs w:val="24"/>
        </w:rPr>
        <w:t>MetLife</w:t>
      </w:r>
      <w:proofErr w:type="spellEnd"/>
      <w:r w:rsidRPr="0030161A">
        <w:rPr>
          <w:rFonts w:ascii="Arial" w:hAnsi="Arial" w:cs="Arial"/>
          <w:sz w:val="24"/>
          <w:szCs w:val="24"/>
        </w:rPr>
        <w:t xml:space="preserve"> pojišťovny. </w:t>
      </w:r>
    </w:p>
    <w:p w14:paraId="41D43D8D" w14:textId="656B6F6B" w:rsidR="0030161A" w:rsidRPr="0030161A" w:rsidRDefault="0030161A" w:rsidP="00965ECF">
      <w:pPr>
        <w:jc w:val="both"/>
        <w:rPr>
          <w:rFonts w:ascii="Arial" w:hAnsi="Arial" w:cs="Arial"/>
          <w:sz w:val="24"/>
          <w:szCs w:val="24"/>
        </w:rPr>
      </w:pPr>
      <w:r w:rsidRPr="0030161A">
        <w:rPr>
          <w:rFonts w:ascii="Arial" w:hAnsi="Arial" w:cs="Arial"/>
          <w:sz w:val="24"/>
          <w:szCs w:val="24"/>
        </w:rPr>
        <w:t xml:space="preserve">Zatímco před dvaceti a více lety byly populární dětské pojistné produkty se spořící složkou, na start do dospělosti to byla například </w:t>
      </w:r>
      <w:r w:rsidR="00E430A9">
        <w:rPr>
          <w:rFonts w:ascii="Arial" w:hAnsi="Arial" w:cs="Arial"/>
          <w:sz w:val="24"/>
          <w:szCs w:val="24"/>
        </w:rPr>
        <w:t xml:space="preserve">svatební </w:t>
      </w:r>
      <w:r w:rsidRPr="0030161A">
        <w:rPr>
          <w:rFonts w:ascii="Arial" w:hAnsi="Arial" w:cs="Arial"/>
          <w:sz w:val="24"/>
          <w:szCs w:val="24"/>
        </w:rPr>
        <w:t xml:space="preserve">nebo stipendijní pojištění, dnes se trend obrací k pojištění rizikovému. Pojistné plnění pak neposlouží jako příspěvek na studia, ale v případě závažné zdravotní komplikace na pořízení zdravotních pomůcek, financování nehrazené léčby, </w:t>
      </w:r>
      <w:r w:rsidRPr="0030161A">
        <w:rPr>
          <w:rFonts w:ascii="Arial" w:hAnsi="Arial" w:cs="Arial"/>
          <w:sz w:val="24"/>
          <w:szCs w:val="24"/>
        </w:rPr>
        <w:lastRenderedPageBreak/>
        <w:t>rehabilitace, zajištění chodu domácnosti či úpravy bydlení, ale také k zajištění případných finančních závazků a zachování životního standardu všech členů domácnosti.</w:t>
      </w:r>
    </w:p>
    <w:p w14:paraId="064A32E7" w14:textId="7183CE93" w:rsidR="0030161A" w:rsidRPr="0030161A" w:rsidRDefault="0030161A" w:rsidP="00965ECF">
      <w:pPr>
        <w:jc w:val="both"/>
        <w:rPr>
          <w:rFonts w:ascii="Arial" w:hAnsi="Arial" w:cs="Arial"/>
          <w:sz w:val="24"/>
          <w:szCs w:val="24"/>
        </w:rPr>
      </w:pPr>
      <w:r w:rsidRPr="0030161A">
        <w:rPr>
          <w:rFonts w:ascii="Arial" w:hAnsi="Arial" w:cs="Arial"/>
          <w:sz w:val="24"/>
          <w:szCs w:val="24"/>
        </w:rPr>
        <w:t xml:space="preserve">Nové životní pojištění </w:t>
      </w:r>
      <w:proofErr w:type="spellStart"/>
      <w:r w:rsidRPr="0030161A">
        <w:rPr>
          <w:rFonts w:ascii="Arial" w:hAnsi="Arial" w:cs="Arial"/>
          <w:sz w:val="24"/>
          <w:szCs w:val="24"/>
        </w:rPr>
        <w:t>OneGuard</w:t>
      </w:r>
      <w:proofErr w:type="spellEnd"/>
      <w:r w:rsidRPr="0030161A">
        <w:rPr>
          <w:rFonts w:ascii="Arial" w:hAnsi="Arial" w:cs="Arial"/>
          <w:sz w:val="24"/>
          <w:szCs w:val="24"/>
        </w:rPr>
        <w:t xml:space="preserve"> pro děti proto obsahuje všechna důležitá pojištění pro opravdu závažné situace v důsledku nejčastějších zdravotních rizik dětí, mezi které invalidita se sníženou soběstačností rozhodně patří. Takže ač by se mohlo zdát, že zejména pojištění snížené soběstačnosti je hlavně produktem pro seniory, není to pravda. Rodiče dětí, kter</w:t>
      </w:r>
      <w:r w:rsidR="00627D99">
        <w:rPr>
          <w:rFonts w:ascii="Arial" w:hAnsi="Arial" w:cs="Arial"/>
          <w:sz w:val="24"/>
          <w:szCs w:val="24"/>
        </w:rPr>
        <w:t xml:space="preserve">ým bylo diagnostikováno některé z nádorových onemocnění </w:t>
      </w:r>
      <w:r w:rsidRPr="0030161A">
        <w:rPr>
          <w:rFonts w:ascii="Arial" w:hAnsi="Arial" w:cs="Arial"/>
          <w:sz w:val="24"/>
          <w:szCs w:val="24"/>
        </w:rPr>
        <w:t>nebo</w:t>
      </w:r>
      <w:r w:rsidR="00E470F4">
        <w:rPr>
          <w:rFonts w:ascii="Arial" w:hAnsi="Arial" w:cs="Arial"/>
          <w:sz w:val="24"/>
          <w:szCs w:val="24"/>
        </w:rPr>
        <w:t xml:space="preserve"> </w:t>
      </w:r>
      <w:r w:rsidR="005415FC">
        <w:rPr>
          <w:rFonts w:ascii="Arial" w:hAnsi="Arial" w:cs="Arial"/>
          <w:sz w:val="24"/>
          <w:szCs w:val="24"/>
        </w:rPr>
        <w:t>které mají po těžkém úrazu</w:t>
      </w:r>
      <w:r w:rsidR="001D61DF">
        <w:rPr>
          <w:rFonts w:ascii="Arial" w:hAnsi="Arial" w:cs="Arial"/>
          <w:sz w:val="24"/>
          <w:szCs w:val="24"/>
        </w:rPr>
        <w:t xml:space="preserve"> </w:t>
      </w:r>
      <w:r w:rsidR="00545545">
        <w:rPr>
          <w:rFonts w:ascii="Arial" w:hAnsi="Arial" w:cs="Arial"/>
          <w:sz w:val="24"/>
          <w:szCs w:val="24"/>
        </w:rPr>
        <w:t xml:space="preserve">omezenou </w:t>
      </w:r>
      <w:r w:rsidR="001D61DF">
        <w:rPr>
          <w:rFonts w:ascii="Arial" w:hAnsi="Arial" w:cs="Arial"/>
          <w:sz w:val="24"/>
          <w:szCs w:val="24"/>
        </w:rPr>
        <w:t>mobilitu</w:t>
      </w:r>
      <w:r w:rsidR="00113AD8">
        <w:rPr>
          <w:rFonts w:ascii="Arial" w:hAnsi="Arial" w:cs="Arial"/>
          <w:sz w:val="24"/>
          <w:szCs w:val="24"/>
        </w:rPr>
        <w:t xml:space="preserve">, </w:t>
      </w:r>
      <w:r w:rsidRPr="0030161A">
        <w:rPr>
          <w:rFonts w:ascii="Arial" w:hAnsi="Arial" w:cs="Arial"/>
          <w:sz w:val="24"/>
          <w:szCs w:val="24"/>
        </w:rPr>
        <w:t xml:space="preserve">mohou potvrdit, že na kompenzaci vysokých finančních nákladů spojených s každodenní nepřetržitou péčí se hodí každá tisícikoruna. </w:t>
      </w:r>
    </w:p>
    <w:p w14:paraId="678F71E0" w14:textId="77777777" w:rsidR="0030161A" w:rsidRPr="0030161A" w:rsidRDefault="0030161A" w:rsidP="00965ECF">
      <w:pPr>
        <w:jc w:val="both"/>
        <w:rPr>
          <w:rFonts w:ascii="Arial" w:hAnsi="Arial" w:cs="Arial"/>
          <w:sz w:val="24"/>
          <w:szCs w:val="24"/>
        </w:rPr>
      </w:pPr>
      <w:r w:rsidRPr="0030161A">
        <w:rPr>
          <w:rFonts w:ascii="Arial" w:hAnsi="Arial" w:cs="Arial"/>
          <w:i/>
          <w:iCs/>
          <w:sz w:val="24"/>
          <w:szCs w:val="24"/>
        </w:rPr>
        <w:t>„Pokud pojištěnému dítěti byla přiznána invalidita 3. stupně nebo snížená soběstačnost od 2. nebo od 3. stupně – podle sjednané varianty v pojištění, tedy jestliže dítě ztratí schopnost samo zvládat základní životní potřeby, mezi něž patří mobilita, stravování, oblékání a obouvání, tělesná hygiena, komunikace a další úkony,</w:t>
      </w:r>
      <w:r w:rsidRPr="0030161A">
        <w:rPr>
          <w:rFonts w:ascii="Arial" w:hAnsi="Arial" w:cs="Arial"/>
          <w:sz w:val="24"/>
          <w:szCs w:val="24"/>
        </w:rPr>
        <w:t xml:space="preserve"> </w:t>
      </w:r>
      <w:r w:rsidRPr="0030161A">
        <w:rPr>
          <w:rFonts w:ascii="Arial" w:hAnsi="Arial" w:cs="Arial"/>
          <w:i/>
          <w:iCs/>
          <w:sz w:val="24"/>
          <w:szCs w:val="24"/>
        </w:rPr>
        <w:t xml:space="preserve">pak vyplatíme jednorázové pojistné plnění ve výši zvolené pojistné částky, která může dosáhnout až 5 milionů korun,“ </w:t>
      </w:r>
      <w:r w:rsidRPr="0030161A">
        <w:rPr>
          <w:rFonts w:ascii="Arial" w:hAnsi="Arial" w:cs="Arial"/>
          <w:sz w:val="24"/>
          <w:szCs w:val="24"/>
        </w:rPr>
        <w:t xml:space="preserve">dodává produktová manažerka </w:t>
      </w:r>
      <w:proofErr w:type="spellStart"/>
      <w:r w:rsidRPr="0030161A">
        <w:rPr>
          <w:rFonts w:ascii="Arial" w:hAnsi="Arial" w:cs="Arial"/>
          <w:sz w:val="24"/>
          <w:szCs w:val="24"/>
        </w:rPr>
        <w:t>MetLife</w:t>
      </w:r>
      <w:proofErr w:type="spellEnd"/>
      <w:r w:rsidRPr="0030161A">
        <w:rPr>
          <w:rFonts w:ascii="Arial" w:hAnsi="Arial" w:cs="Arial"/>
          <w:sz w:val="24"/>
          <w:szCs w:val="24"/>
        </w:rPr>
        <w:t>.</w:t>
      </w:r>
    </w:p>
    <w:p w14:paraId="051093CB" w14:textId="77777777" w:rsidR="0030161A" w:rsidRPr="0030161A" w:rsidRDefault="0030161A" w:rsidP="00965ECF">
      <w:pPr>
        <w:jc w:val="both"/>
        <w:rPr>
          <w:rFonts w:ascii="Arial" w:hAnsi="Arial" w:cs="Arial"/>
          <w:sz w:val="24"/>
          <w:szCs w:val="24"/>
        </w:rPr>
      </w:pPr>
      <w:r w:rsidRPr="0030161A">
        <w:rPr>
          <w:rFonts w:ascii="Arial" w:hAnsi="Arial" w:cs="Arial"/>
          <w:sz w:val="24"/>
          <w:szCs w:val="24"/>
        </w:rPr>
        <w:t xml:space="preserve">Se zvyšujícím se povědomí o duševním zdraví se rodiče dětí a mladí lidé už sami častěji obracejí na odborníky, což zvyšuje počet diagnostikovaných případů psychických onemocnění, a tedy i případů, které končí invaliditou nebo sníženou soběstačností. U dětí poslední dobou narůstají hlavně poruchy pozornosti, u mladistvých pak úzkostné nebo stresové poruchy, deprese, poruchy příjmu potravy, závislosti na návykových látkách, které eskalují až k sebepoškozování či sebevražedným sklonům. </w:t>
      </w:r>
    </w:p>
    <w:p w14:paraId="6802780F" w14:textId="77777777" w:rsidR="0030161A" w:rsidRPr="0030161A" w:rsidRDefault="0030161A" w:rsidP="00965ECF">
      <w:pPr>
        <w:jc w:val="both"/>
        <w:rPr>
          <w:rFonts w:ascii="Arial" w:hAnsi="Arial" w:cs="Arial"/>
          <w:sz w:val="24"/>
          <w:szCs w:val="24"/>
        </w:rPr>
      </w:pPr>
      <w:r w:rsidRPr="0030161A">
        <w:rPr>
          <w:rFonts w:ascii="Arial" w:hAnsi="Arial" w:cs="Arial"/>
          <w:i/>
          <w:iCs/>
          <w:noProof/>
          <w:sz w:val="24"/>
          <w:szCs w:val="24"/>
        </w:rPr>
        <w:t xml:space="preserve">„S ohledem na tento trend jsme se v novém produktu OneGuard rozhodli v pojištění invalidity a snížené soběstačnosti zmírnit výluky u duševních nemocí, takže tyto poruchy vyloučíme pouze v případech, kdy se projevily nebo byly diagnostikovány v prvních pěti letech života dítěte a/nebo před počátkem pojištění. Také čekací doba se u invalidity a snížené soběstačnosti v důsledku nemoci výrazně zkrátila, a to z dvanácti měsíců na pouhé dva,“ </w:t>
      </w:r>
      <w:r w:rsidRPr="0030161A">
        <w:rPr>
          <w:rFonts w:ascii="Arial" w:hAnsi="Arial" w:cs="Arial"/>
          <w:noProof/>
          <w:sz w:val="24"/>
          <w:szCs w:val="24"/>
        </w:rPr>
        <w:t xml:space="preserve">uzavřela Eliška </w:t>
      </w:r>
      <w:r w:rsidRPr="0030161A">
        <w:rPr>
          <w:rFonts w:ascii="Arial" w:hAnsi="Arial" w:cs="Arial"/>
          <w:sz w:val="24"/>
          <w:szCs w:val="24"/>
        </w:rPr>
        <w:t>Nechanická Březinová.</w:t>
      </w:r>
    </w:p>
    <w:p w14:paraId="41C4C2D2" w14:textId="77777777" w:rsidR="0030161A" w:rsidRPr="0030161A" w:rsidRDefault="0030161A" w:rsidP="00965ECF">
      <w:pPr>
        <w:jc w:val="both"/>
        <w:rPr>
          <w:rFonts w:ascii="Arial" w:hAnsi="Arial" w:cs="Arial"/>
          <w:sz w:val="24"/>
          <w:szCs w:val="24"/>
        </w:rPr>
      </w:pPr>
      <w:r w:rsidRPr="0030161A">
        <w:rPr>
          <w:rFonts w:ascii="Arial" w:hAnsi="Arial" w:cs="Arial"/>
          <w:sz w:val="24"/>
          <w:szCs w:val="24"/>
        </w:rPr>
        <w:t xml:space="preserve">Přiznání snížené soběstačnosti je ve věku do 25 let mírně častější u chlapců než dívek v poměru 54 % ku 46 %. A také do stejného věku, tedy 25 let, je možné dětské pojištění </w:t>
      </w:r>
      <w:proofErr w:type="spellStart"/>
      <w:r w:rsidRPr="0030161A">
        <w:rPr>
          <w:rFonts w:ascii="Arial" w:hAnsi="Arial" w:cs="Arial"/>
          <w:sz w:val="24"/>
          <w:szCs w:val="24"/>
        </w:rPr>
        <w:t>OneGuard</w:t>
      </w:r>
      <w:proofErr w:type="spellEnd"/>
      <w:r w:rsidRPr="0030161A">
        <w:rPr>
          <w:rFonts w:ascii="Arial" w:hAnsi="Arial" w:cs="Arial"/>
          <w:sz w:val="24"/>
          <w:szCs w:val="24"/>
        </w:rPr>
        <w:t xml:space="preserve"> sjednat. </w:t>
      </w:r>
    </w:p>
    <w:p w14:paraId="77C0A081" w14:textId="77777777" w:rsidR="007E4979" w:rsidRDefault="007E4979" w:rsidP="00FB162C">
      <w:pPr>
        <w:spacing w:after="225" w:line="240" w:lineRule="auto"/>
        <w:jc w:val="both"/>
        <w:rPr>
          <w:rFonts w:ascii="Arial" w:hAnsi="Arial" w:cs="Arial"/>
          <w:b/>
          <w:sz w:val="20"/>
          <w:u w:val="single"/>
        </w:rPr>
      </w:pPr>
    </w:p>
    <w:p w14:paraId="02D97605" w14:textId="7EFE2AE5" w:rsidR="0077767E" w:rsidRPr="00FB162C" w:rsidRDefault="000A071C" w:rsidP="00FB162C">
      <w:pPr>
        <w:spacing w:after="225" w:line="240" w:lineRule="auto"/>
        <w:jc w:val="both"/>
        <w:rPr>
          <w:rFonts w:ascii="Arial" w:eastAsia="Times New Roman" w:hAnsi="Arial" w:cs="Arial"/>
          <w:color w:val="000000"/>
          <w:sz w:val="24"/>
          <w:szCs w:val="24"/>
          <w:lang w:eastAsia="cs-CZ"/>
        </w:rPr>
      </w:pPr>
      <w:r>
        <w:rPr>
          <w:rFonts w:ascii="Arial" w:hAnsi="Arial" w:cs="Arial"/>
          <w:b/>
          <w:sz w:val="20"/>
          <w:u w:val="single"/>
        </w:rPr>
        <w:t>Pro více informací kontaktujte:</w:t>
      </w:r>
    </w:p>
    <w:p w14:paraId="6B914766" w14:textId="77777777" w:rsidR="0077767E" w:rsidRDefault="0077767E">
      <w:pPr>
        <w:spacing w:after="0" w:line="240" w:lineRule="auto"/>
        <w:rPr>
          <w:rFonts w:ascii="Arial" w:hAnsi="Arial" w:cs="Arial"/>
          <w:sz w:val="20"/>
        </w:rPr>
      </w:pPr>
    </w:p>
    <w:p w14:paraId="3F6D0CFE" w14:textId="77777777" w:rsidR="0077767E" w:rsidRDefault="000A071C">
      <w:pPr>
        <w:spacing w:after="0" w:line="240" w:lineRule="auto"/>
        <w:rPr>
          <w:rFonts w:ascii="Arial" w:hAnsi="Arial" w:cs="Arial"/>
          <w:sz w:val="20"/>
        </w:rPr>
      </w:pPr>
      <w:r>
        <w:rPr>
          <w:rFonts w:ascii="Arial" w:hAnsi="Arial" w:cs="Arial"/>
          <w:sz w:val="20"/>
        </w:rPr>
        <w:t>Veronika Hášová</w:t>
      </w:r>
    </w:p>
    <w:p w14:paraId="55983D45" w14:textId="77777777" w:rsidR="0077767E" w:rsidRDefault="000A071C">
      <w:pPr>
        <w:spacing w:after="0" w:line="240" w:lineRule="auto"/>
        <w:rPr>
          <w:rFonts w:ascii="Arial" w:hAnsi="Arial" w:cs="Arial"/>
          <w:b/>
          <w:bCs/>
          <w:sz w:val="20"/>
        </w:rPr>
      </w:pPr>
      <w:proofErr w:type="spellStart"/>
      <w:r>
        <w:rPr>
          <w:rFonts w:ascii="Arial" w:hAnsi="Arial" w:cs="Arial"/>
          <w:b/>
          <w:bCs/>
          <w:sz w:val="20"/>
        </w:rPr>
        <w:t>Crest</w:t>
      </w:r>
      <w:proofErr w:type="spellEnd"/>
      <w:r>
        <w:rPr>
          <w:rFonts w:ascii="Arial" w:hAnsi="Arial" w:cs="Arial"/>
          <w:b/>
          <w:bCs/>
          <w:sz w:val="20"/>
        </w:rPr>
        <w:t xml:space="preserve"> Communications, a.s.</w:t>
      </w:r>
    </w:p>
    <w:p w14:paraId="4C736778" w14:textId="77777777" w:rsidR="0077767E" w:rsidRDefault="000A071C">
      <w:pPr>
        <w:spacing w:after="0" w:line="240" w:lineRule="auto"/>
        <w:rPr>
          <w:rFonts w:ascii="Arial" w:hAnsi="Arial" w:cs="Arial"/>
          <w:sz w:val="20"/>
        </w:rPr>
      </w:pPr>
      <w:r>
        <w:rPr>
          <w:rFonts w:ascii="Arial" w:hAnsi="Arial" w:cs="Arial"/>
          <w:sz w:val="20"/>
        </w:rPr>
        <w:t>Ostrovní 126/30</w:t>
      </w:r>
    </w:p>
    <w:p w14:paraId="0255338D" w14:textId="77777777" w:rsidR="0077767E" w:rsidRDefault="000A071C">
      <w:pPr>
        <w:spacing w:after="0" w:line="240" w:lineRule="auto"/>
        <w:rPr>
          <w:rFonts w:ascii="Arial" w:hAnsi="Arial" w:cs="Arial"/>
          <w:sz w:val="20"/>
        </w:rPr>
      </w:pPr>
      <w:r>
        <w:rPr>
          <w:rFonts w:ascii="Arial" w:hAnsi="Arial" w:cs="Arial"/>
          <w:sz w:val="20"/>
        </w:rPr>
        <w:t>110 00 Praha 1</w:t>
      </w:r>
    </w:p>
    <w:p w14:paraId="19A74A3E" w14:textId="77777777" w:rsidR="0077767E" w:rsidRDefault="000A071C">
      <w:pPr>
        <w:spacing w:after="0" w:line="240" w:lineRule="auto"/>
        <w:rPr>
          <w:rFonts w:ascii="Arial" w:hAnsi="Arial" w:cs="Arial"/>
          <w:sz w:val="20"/>
        </w:rPr>
      </w:pPr>
      <w:proofErr w:type="spellStart"/>
      <w:r>
        <w:rPr>
          <w:rFonts w:ascii="Arial" w:hAnsi="Arial" w:cs="Arial"/>
          <w:sz w:val="20"/>
        </w:rPr>
        <w:t>gsm</w:t>
      </w:r>
      <w:proofErr w:type="spellEnd"/>
      <w:r>
        <w:rPr>
          <w:rFonts w:ascii="Arial" w:hAnsi="Arial" w:cs="Arial"/>
          <w:sz w:val="20"/>
        </w:rPr>
        <w:t>: + 420 737 230 060</w:t>
      </w:r>
    </w:p>
    <w:p w14:paraId="41D7F1D6" w14:textId="77777777" w:rsidR="0077767E" w:rsidRDefault="000A071C">
      <w:pPr>
        <w:spacing w:after="0" w:line="240" w:lineRule="auto"/>
        <w:rPr>
          <w:rFonts w:ascii="Arial" w:hAnsi="Arial" w:cs="Arial"/>
          <w:sz w:val="20"/>
          <w:szCs w:val="20"/>
        </w:rPr>
      </w:pPr>
      <w:r>
        <w:rPr>
          <w:rFonts w:ascii="Arial" w:hAnsi="Arial" w:cs="Arial"/>
          <w:sz w:val="20"/>
          <w:szCs w:val="20"/>
        </w:rPr>
        <w:t>www.crestcom.cz</w:t>
      </w:r>
    </w:p>
    <w:p w14:paraId="146569E6" w14:textId="77777777" w:rsidR="0077767E" w:rsidRDefault="000A071C">
      <w:pPr>
        <w:spacing w:after="0" w:line="240" w:lineRule="auto"/>
        <w:rPr>
          <w:rFonts w:ascii="Arial" w:hAnsi="Arial" w:cs="Arial"/>
          <w:color w:val="0000FF"/>
          <w:sz w:val="20"/>
          <w:u w:val="single"/>
        </w:rPr>
      </w:pPr>
      <w:r>
        <w:rPr>
          <w:rFonts w:ascii="Arial" w:hAnsi="Arial" w:cs="Arial"/>
          <w:color w:val="000000"/>
          <w:sz w:val="20"/>
        </w:rPr>
        <w:t xml:space="preserve">e-mail: </w:t>
      </w:r>
      <w:hyperlink r:id="rId10">
        <w:r>
          <w:rPr>
            <w:rStyle w:val="Internetovodkaz"/>
            <w:rFonts w:ascii="Arial" w:hAnsi="Arial" w:cs="Arial"/>
            <w:color w:val="0070C0"/>
            <w:sz w:val="20"/>
          </w:rPr>
          <w:t>veronika.hasova@crestcom.cz</w:t>
        </w:r>
      </w:hyperlink>
    </w:p>
    <w:p w14:paraId="119C5727" w14:textId="77777777" w:rsidR="0077767E" w:rsidRDefault="0077767E">
      <w:pPr>
        <w:shd w:val="clear" w:color="auto" w:fill="FFFFFF"/>
        <w:rPr>
          <w:rFonts w:ascii="Arial" w:hAnsi="Arial" w:cs="Arial"/>
          <w:sz w:val="20"/>
          <w:szCs w:val="20"/>
        </w:rPr>
      </w:pPr>
    </w:p>
    <w:p w14:paraId="35C8284B"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b/>
          <w:bCs/>
          <w:color w:val="333333"/>
          <w:sz w:val="20"/>
          <w:szCs w:val="20"/>
        </w:rPr>
        <w:t xml:space="preserve">O společnosti </w:t>
      </w:r>
      <w:proofErr w:type="spellStart"/>
      <w:r>
        <w:rPr>
          <w:rFonts w:ascii="Arial" w:hAnsi="Arial" w:cs="Arial"/>
          <w:b/>
          <w:bCs/>
          <w:color w:val="333333"/>
          <w:sz w:val="20"/>
          <w:szCs w:val="20"/>
        </w:rPr>
        <w:t>Metlife</w:t>
      </w:r>
      <w:proofErr w:type="spellEnd"/>
    </w:p>
    <w:p w14:paraId="5ABE96C4" w14:textId="701CEB5A"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 xml:space="preserve">Společnost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Inc. (NYSE: MET) je prostřednictvím svých dceřiných a přidružených firem jednou z předních světových společností poskytujících finanční služby v oblasti pojištění, anuit, zaměstnaneckých benefitů a správy aktiv, které pomáhají individuálním i firemním zákazníkům vytvořit jistější budoucnost. Společnost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byla založena v roce 1868, svoji činnost vykonává ve více než 40 zemích a zaujímá vedoucí postavení ve Spojených </w:t>
      </w:r>
      <w:r>
        <w:rPr>
          <w:rFonts w:ascii="Arial" w:hAnsi="Arial" w:cs="Arial"/>
          <w:color w:val="333333"/>
          <w:sz w:val="20"/>
          <w:szCs w:val="20"/>
        </w:rPr>
        <w:lastRenderedPageBreak/>
        <w:t xml:space="preserve">státech, </w:t>
      </w:r>
      <w:r w:rsidR="000A4AEB">
        <w:rPr>
          <w:rFonts w:ascii="Arial" w:hAnsi="Arial" w:cs="Arial"/>
          <w:color w:val="333333"/>
          <w:sz w:val="20"/>
          <w:szCs w:val="20"/>
        </w:rPr>
        <w:t>Asii</w:t>
      </w:r>
      <w:r>
        <w:rPr>
          <w:rFonts w:ascii="Arial" w:hAnsi="Arial" w:cs="Arial"/>
          <w:color w:val="333333"/>
          <w:sz w:val="20"/>
          <w:szCs w:val="20"/>
        </w:rPr>
        <w:t>, Latinské Americe, Evropě a na Středním východě. Další informace naleznete na</w:t>
      </w:r>
      <w:r w:rsidR="00C44D6A">
        <w:rPr>
          <w:rFonts w:ascii="Arial" w:hAnsi="Arial" w:cs="Arial"/>
          <w:color w:val="333333"/>
          <w:sz w:val="20"/>
          <w:szCs w:val="20"/>
        </w:rPr>
        <w:t> </w:t>
      </w:r>
      <w:r>
        <w:rPr>
          <w:rFonts w:ascii="Arial" w:hAnsi="Arial" w:cs="Arial"/>
          <w:color w:val="333333"/>
          <w:sz w:val="20"/>
          <w:szCs w:val="20"/>
        </w:rPr>
        <w:t>adrese</w:t>
      </w:r>
      <w:r>
        <w:rPr>
          <w:rFonts w:ascii="Arial" w:hAnsi="Arial" w:cs="Arial"/>
          <w:color w:val="0070C0"/>
          <w:sz w:val="20"/>
          <w:szCs w:val="20"/>
        </w:rPr>
        <w:t> </w:t>
      </w:r>
      <w:hyperlink r:id="rId11" w:tgtFrame="_blank">
        <w:r>
          <w:rPr>
            <w:rStyle w:val="Internetovodkaz"/>
            <w:rFonts w:ascii="Arial" w:hAnsi="Arial" w:cs="Arial"/>
            <w:color w:val="0070C0"/>
            <w:sz w:val="20"/>
            <w:szCs w:val="20"/>
          </w:rPr>
          <w:t>www.metlife.com</w:t>
        </w:r>
      </w:hyperlink>
      <w:r>
        <w:rPr>
          <w:rFonts w:ascii="Arial" w:hAnsi="Arial" w:cs="Arial"/>
          <w:color w:val="333333"/>
          <w:sz w:val="20"/>
          <w:szCs w:val="20"/>
        </w:rPr>
        <w:t>.</w:t>
      </w:r>
    </w:p>
    <w:p w14:paraId="5CAACF05" w14:textId="77777777" w:rsidR="0077767E" w:rsidRDefault="0077767E" w:rsidP="00C44D6A">
      <w:pPr>
        <w:pStyle w:val="Normlnweb"/>
        <w:shd w:val="clear" w:color="auto" w:fill="FFFFFF"/>
        <w:spacing w:beforeAutospacing="0" w:after="0" w:afterAutospacing="0"/>
        <w:jc w:val="both"/>
        <w:rPr>
          <w:rFonts w:ascii="Arial" w:hAnsi="Arial" w:cs="Arial"/>
          <w:color w:val="333333"/>
          <w:sz w:val="20"/>
          <w:szCs w:val="20"/>
        </w:rPr>
      </w:pPr>
    </w:p>
    <w:p w14:paraId="1FD4C949"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proofErr w:type="spellStart"/>
      <w:r>
        <w:rPr>
          <w:rFonts w:ascii="Arial" w:hAnsi="Arial" w:cs="Arial"/>
          <w:b/>
          <w:bCs/>
          <w:color w:val="333333"/>
          <w:sz w:val="20"/>
          <w:szCs w:val="20"/>
        </w:rPr>
        <w:t>MetLife</w:t>
      </w:r>
      <w:proofErr w:type="spellEnd"/>
      <w:r>
        <w:rPr>
          <w:rFonts w:ascii="Arial" w:hAnsi="Arial" w:cs="Arial"/>
          <w:b/>
          <w:bCs/>
          <w:color w:val="333333"/>
          <w:sz w:val="20"/>
          <w:szCs w:val="20"/>
        </w:rPr>
        <w:t xml:space="preserve"> v České republice</w:t>
      </w:r>
    </w:p>
    <w:p w14:paraId="413AC086" w14:textId="65D8C71E"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 xml:space="preserve">Pojišťovna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w:t>
      </w:r>
      <w:proofErr w:type="spellStart"/>
      <w:r>
        <w:rPr>
          <w:rFonts w:ascii="Arial" w:hAnsi="Arial" w:cs="Arial"/>
          <w:color w:val="333333"/>
          <w:sz w:val="20"/>
          <w:szCs w:val="20"/>
        </w:rPr>
        <w:t>Europe</w:t>
      </w:r>
      <w:proofErr w:type="spellEnd"/>
      <w:r>
        <w:rPr>
          <w:rFonts w:ascii="Arial" w:hAnsi="Arial" w:cs="Arial"/>
          <w:color w:val="333333"/>
          <w:sz w:val="20"/>
          <w:szCs w:val="20"/>
        </w:rPr>
        <w:t xml:space="preserve"> </w:t>
      </w:r>
      <w:proofErr w:type="spellStart"/>
      <w:r>
        <w:rPr>
          <w:rFonts w:ascii="Arial" w:hAnsi="Arial" w:cs="Arial"/>
          <w:color w:val="333333"/>
          <w:sz w:val="20"/>
          <w:szCs w:val="20"/>
        </w:rPr>
        <w:t>d.a.c</w:t>
      </w:r>
      <w:proofErr w:type="spellEnd"/>
      <w:r>
        <w:rPr>
          <w:rFonts w:ascii="Arial" w:hAnsi="Arial" w:cs="Arial"/>
          <w:color w:val="333333"/>
          <w:sz w:val="20"/>
          <w:szCs w:val="20"/>
        </w:rPr>
        <w:t>.) nabízí své služby v České republice od roku 1992. Dlouhodobě se umisťuje v žebříčku top 10 nejvyužívanějších pojišťoven v oblasti životního pojištění. Více informací na </w:t>
      </w:r>
      <w:hyperlink r:id="rId12">
        <w:r w:rsidRPr="00111C80">
          <w:rPr>
            <w:rStyle w:val="Internetovodkaz"/>
            <w:rFonts w:ascii="Arial" w:hAnsi="Arial" w:cs="Arial"/>
            <w:color w:val="0070C0"/>
            <w:sz w:val="20"/>
            <w:szCs w:val="20"/>
          </w:rPr>
          <w:t>www.metlife.cz</w:t>
        </w:r>
      </w:hyperlink>
      <w:r>
        <w:rPr>
          <w:rFonts w:ascii="Arial" w:hAnsi="Arial" w:cs="Arial"/>
          <w:color w:val="333333"/>
          <w:sz w:val="20"/>
          <w:szCs w:val="20"/>
        </w:rPr>
        <w:t>.</w:t>
      </w:r>
    </w:p>
    <w:p w14:paraId="4E28887D" w14:textId="77777777" w:rsidR="0051150E" w:rsidRPr="00717090" w:rsidRDefault="0051150E" w:rsidP="0051150E">
      <w:pPr>
        <w:pStyle w:val="Normlnweb"/>
        <w:shd w:val="clear" w:color="auto" w:fill="FFFFFF"/>
        <w:spacing w:beforeAutospacing="0" w:after="0" w:afterAutospacing="0"/>
        <w:rPr>
          <w:rFonts w:ascii="Arial" w:hAnsi="Arial" w:cs="Arial"/>
          <w:b/>
          <w:bCs/>
          <w:color w:val="333333"/>
          <w:sz w:val="20"/>
          <w:szCs w:val="20"/>
        </w:rPr>
      </w:pPr>
    </w:p>
    <w:p w14:paraId="2F4661C2" w14:textId="7472B44C" w:rsidR="0077767E" w:rsidRDefault="0077767E">
      <w:pPr>
        <w:pStyle w:val="Normlnweb"/>
        <w:shd w:val="clear" w:color="auto" w:fill="FFFFFF"/>
        <w:spacing w:beforeAutospacing="0" w:after="0" w:afterAutospacing="0"/>
        <w:rPr>
          <w:rFonts w:ascii="Arial" w:hAnsi="Arial" w:cs="Arial"/>
          <w:color w:val="333333"/>
          <w:sz w:val="20"/>
          <w:szCs w:val="20"/>
        </w:rPr>
      </w:pPr>
    </w:p>
    <w:sectPr w:rsidR="0077767E">
      <w:pgSz w:w="11906" w:h="16838"/>
      <w:pgMar w:top="851" w:right="851" w:bottom="851"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7E"/>
    <w:rsid w:val="0005173F"/>
    <w:rsid w:val="00052604"/>
    <w:rsid w:val="00064A62"/>
    <w:rsid w:val="00071F77"/>
    <w:rsid w:val="00074A7E"/>
    <w:rsid w:val="000933FF"/>
    <w:rsid w:val="00096CBE"/>
    <w:rsid w:val="000A071C"/>
    <w:rsid w:val="000A4AEB"/>
    <w:rsid w:val="000B3192"/>
    <w:rsid w:val="000C55A3"/>
    <w:rsid w:val="000E76EE"/>
    <w:rsid w:val="000F30EA"/>
    <w:rsid w:val="000F4018"/>
    <w:rsid w:val="000F6C0E"/>
    <w:rsid w:val="00111C80"/>
    <w:rsid w:val="00112CA9"/>
    <w:rsid w:val="00113342"/>
    <w:rsid w:val="00113AD8"/>
    <w:rsid w:val="00123D5B"/>
    <w:rsid w:val="001338F3"/>
    <w:rsid w:val="00162C2E"/>
    <w:rsid w:val="00176919"/>
    <w:rsid w:val="00194F92"/>
    <w:rsid w:val="001A1710"/>
    <w:rsid w:val="001B60C2"/>
    <w:rsid w:val="001D1B96"/>
    <w:rsid w:val="001D61DF"/>
    <w:rsid w:val="001D6564"/>
    <w:rsid w:val="001E5AD4"/>
    <w:rsid w:val="001F1A82"/>
    <w:rsid w:val="00224E0F"/>
    <w:rsid w:val="00227E86"/>
    <w:rsid w:val="00234F67"/>
    <w:rsid w:val="00250ED0"/>
    <w:rsid w:val="00255A50"/>
    <w:rsid w:val="0027031D"/>
    <w:rsid w:val="002777A6"/>
    <w:rsid w:val="002B36AC"/>
    <w:rsid w:val="002B50EF"/>
    <w:rsid w:val="002B53DD"/>
    <w:rsid w:val="002C4B96"/>
    <w:rsid w:val="002C5B60"/>
    <w:rsid w:val="002C731F"/>
    <w:rsid w:val="002D00F5"/>
    <w:rsid w:val="002D58BC"/>
    <w:rsid w:val="002D6565"/>
    <w:rsid w:val="002E4ECF"/>
    <w:rsid w:val="0030161A"/>
    <w:rsid w:val="003354C9"/>
    <w:rsid w:val="003613D4"/>
    <w:rsid w:val="00362FB2"/>
    <w:rsid w:val="003711D6"/>
    <w:rsid w:val="00373329"/>
    <w:rsid w:val="003827B7"/>
    <w:rsid w:val="00387904"/>
    <w:rsid w:val="00395158"/>
    <w:rsid w:val="0039712A"/>
    <w:rsid w:val="003A29F4"/>
    <w:rsid w:val="003A659A"/>
    <w:rsid w:val="003B4B5D"/>
    <w:rsid w:val="003C0E49"/>
    <w:rsid w:val="003F561A"/>
    <w:rsid w:val="003F7F53"/>
    <w:rsid w:val="00435347"/>
    <w:rsid w:val="004373B5"/>
    <w:rsid w:val="00441F02"/>
    <w:rsid w:val="00442076"/>
    <w:rsid w:val="00464D66"/>
    <w:rsid w:val="004729E5"/>
    <w:rsid w:val="004B60D8"/>
    <w:rsid w:val="004C71AB"/>
    <w:rsid w:val="004D39E5"/>
    <w:rsid w:val="004D6E74"/>
    <w:rsid w:val="004D7C3B"/>
    <w:rsid w:val="004E00CD"/>
    <w:rsid w:val="004F1AE7"/>
    <w:rsid w:val="005028D5"/>
    <w:rsid w:val="005076E4"/>
    <w:rsid w:val="0051150E"/>
    <w:rsid w:val="005124C7"/>
    <w:rsid w:val="005151FC"/>
    <w:rsid w:val="005211CB"/>
    <w:rsid w:val="005272F4"/>
    <w:rsid w:val="005328D4"/>
    <w:rsid w:val="005415FC"/>
    <w:rsid w:val="00545545"/>
    <w:rsid w:val="00557722"/>
    <w:rsid w:val="0056154E"/>
    <w:rsid w:val="0056700C"/>
    <w:rsid w:val="00580E74"/>
    <w:rsid w:val="005814BC"/>
    <w:rsid w:val="0058287F"/>
    <w:rsid w:val="00584B78"/>
    <w:rsid w:val="00587018"/>
    <w:rsid w:val="00590F6C"/>
    <w:rsid w:val="005C342E"/>
    <w:rsid w:val="005C687D"/>
    <w:rsid w:val="005F613A"/>
    <w:rsid w:val="00626616"/>
    <w:rsid w:val="006268F8"/>
    <w:rsid w:val="00627D99"/>
    <w:rsid w:val="00630203"/>
    <w:rsid w:val="006310F9"/>
    <w:rsid w:val="00673A92"/>
    <w:rsid w:val="006858CD"/>
    <w:rsid w:val="00687838"/>
    <w:rsid w:val="006879D3"/>
    <w:rsid w:val="006900AA"/>
    <w:rsid w:val="00692AC2"/>
    <w:rsid w:val="00693194"/>
    <w:rsid w:val="00697C36"/>
    <w:rsid w:val="006A0187"/>
    <w:rsid w:val="006C22DA"/>
    <w:rsid w:val="006E25C3"/>
    <w:rsid w:val="006E4280"/>
    <w:rsid w:val="00700450"/>
    <w:rsid w:val="00701886"/>
    <w:rsid w:val="00707678"/>
    <w:rsid w:val="0072090B"/>
    <w:rsid w:val="007457DA"/>
    <w:rsid w:val="0077767E"/>
    <w:rsid w:val="007831B9"/>
    <w:rsid w:val="00796017"/>
    <w:rsid w:val="00797C60"/>
    <w:rsid w:val="007A5074"/>
    <w:rsid w:val="007A7844"/>
    <w:rsid w:val="007B135D"/>
    <w:rsid w:val="007B275B"/>
    <w:rsid w:val="007B3251"/>
    <w:rsid w:val="007C6AD6"/>
    <w:rsid w:val="007D49C1"/>
    <w:rsid w:val="007E4979"/>
    <w:rsid w:val="00807184"/>
    <w:rsid w:val="008077FC"/>
    <w:rsid w:val="00825C51"/>
    <w:rsid w:val="00843B20"/>
    <w:rsid w:val="00865832"/>
    <w:rsid w:val="008679AF"/>
    <w:rsid w:val="0088088F"/>
    <w:rsid w:val="008B07F6"/>
    <w:rsid w:val="008B7D58"/>
    <w:rsid w:val="008C15F4"/>
    <w:rsid w:val="008C4306"/>
    <w:rsid w:val="008D06F6"/>
    <w:rsid w:val="008D61F4"/>
    <w:rsid w:val="0090257E"/>
    <w:rsid w:val="00907D1B"/>
    <w:rsid w:val="009270AA"/>
    <w:rsid w:val="00937DAC"/>
    <w:rsid w:val="00965ECF"/>
    <w:rsid w:val="009967DE"/>
    <w:rsid w:val="009E6A8A"/>
    <w:rsid w:val="00A00265"/>
    <w:rsid w:val="00A010F4"/>
    <w:rsid w:val="00A05176"/>
    <w:rsid w:val="00A06DCB"/>
    <w:rsid w:val="00A137C7"/>
    <w:rsid w:val="00A143F8"/>
    <w:rsid w:val="00A178B2"/>
    <w:rsid w:val="00A21B72"/>
    <w:rsid w:val="00A2590F"/>
    <w:rsid w:val="00A31838"/>
    <w:rsid w:val="00A47FCC"/>
    <w:rsid w:val="00A57C32"/>
    <w:rsid w:val="00AA5ABC"/>
    <w:rsid w:val="00AD613E"/>
    <w:rsid w:val="00AE45F6"/>
    <w:rsid w:val="00AF468E"/>
    <w:rsid w:val="00B142FD"/>
    <w:rsid w:val="00B36E90"/>
    <w:rsid w:val="00B47254"/>
    <w:rsid w:val="00B5711E"/>
    <w:rsid w:val="00B7212E"/>
    <w:rsid w:val="00B8021C"/>
    <w:rsid w:val="00B841BB"/>
    <w:rsid w:val="00B978ED"/>
    <w:rsid w:val="00BE3AE8"/>
    <w:rsid w:val="00BF652F"/>
    <w:rsid w:val="00C04426"/>
    <w:rsid w:val="00C238BB"/>
    <w:rsid w:val="00C44D6A"/>
    <w:rsid w:val="00C571D8"/>
    <w:rsid w:val="00C653F8"/>
    <w:rsid w:val="00C70297"/>
    <w:rsid w:val="00C8019C"/>
    <w:rsid w:val="00CA1985"/>
    <w:rsid w:val="00CB1875"/>
    <w:rsid w:val="00CC61A0"/>
    <w:rsid w:val="00CC6269"/>
    <w:rsid w:val="00CD7AEE"/>
    <w:rsid w:val="00CF77A7"/>
    <w:rsid w:val="00D04D10"/>
    <w:rsid w:val="00D13DC3"/>
    <w:rsid w:val="00D27E12"/>
    <w:rsid w:val="00D75441"/>
    <w:rsid w:val="00D863C9"/>
    <w:rsid w:val="00DD153F"/>
    <w:rsid w:val="00E10734"/>
    <w:rsid w:val="00E15F41"/>
    <w:rsid w:val="00E16570"/>
    <w:rsid w:val="00E24B18"/>
    <w:rsid w:val="00E379A6"/>
    <w:rsid w:val="00E40435"/>
    <w:rsid w:val="00E42DF8"/>
    <w:rsid w:val="00E430A9"/>
    <w:rsid w:val="00E44382"/>
    <w:rsid w:val="00E470F4"/>
    <w:rsid w:val="00E513CB"/>
    <w:rsid w:val="00E56C16"/>
    <w:rsid w:val="00E913FB"/>
    <w:rsid w:val="00EC62A7"/>
    <w:rsid w:val="00F05F26"/>
    <w:rsid w:val="00F12AD7"/>
    <w:rsid w:val="00F1725E"/>
    <w:rsid w:val="00F17B94"/>
    <w:rsid w:val="00F2036A"/>
    <w:rsid w:val="00F20F4A"/>
    <w:rsid w:val="00F35CEA"/>
    <w:rsid w:val="00F76441"/>
    <w:rsid w:val="00F764F0"/>
    <w:rsid w:val="00F76801"/>
    <w:rsid w:val="00F9233E"/>
    <w:rsid w:val="00FA289E"/>
    <w:rsid w:val="00FA5C62"/>
    <w:rsid w:val="00FA7644"/>
    <w:rsid w:val="00FB162C"/>
    <w:rsid w:val="00FB1809"/>
    <w:rsid w:val="00FC5EA2"/>
    <w:rsid w:val="00FF262D"/>
    <w:rsid w:val="00FF3F9C"/>
    <w:rsid w:val="0AFD5F50"/>
    <w:rsid w:val="0DCACC58"/>
    <w:rsid w:val="4A54D1A2"/>
    <w:rsid w:val="56B44CCC"/>
    <w:rsid w:val="60CF14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7954"/>
  <w15:docId w15:val="{1C818455-129C-4C4C-9324-D5CFF40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40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00651"/>
    <w:pPr>
      <w:spacing w:beforeAutospacing="1"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Autospacing="1"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semiHidden/>
    <w:rsid w:val="0016010D"/>
    <w:rPr>
      <w:color w:val="0000FF"/>
      <w:u w:val="single"/>
    </w:rPr>
  </w:style>
  <w:style w:type="character" w:customStyle="1" w:styleId="Nadpis2Char">
    <w:name w:val="Nadpis 2 Char"/>
    <w:basedOn w:val="Standardnpsmoodstavce"/>
    <w:link w:val="Nadpis2"/>
    <w:uiPriority w:val="9"/>
    <w:qFormat/>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qFormat/>
    <w:rsid w:val="00100651"/>
    <w:rPr>
      <w:rFonts w:ascii="Times New Roman" w:eastAsia="Times New Roman" w:hAnsi="Times New Roman"/>
      <w:b/>
      <w:bCs/>
      <w:sz w:val="27"/>
      <w:szCs w:val="27"/>
    </w:rPr>
  </w:style>
  <w:style w:type="character" w:styleId="Zdraznn">
    <w:name w:val="Emphasis"/>
    <w:basedOn w:val="Standardnpsmoodstavce"/>
    <w:uiPriority w:val="20"/>
    <w:qFormat/>
    <w:rsid w:val="00100651"/>
    <w:rPr>
      <w:i/>
      <w:iCs/>
    </w:rPr>
  </w:style>
  <w:style w:type="character" w:customStyle="1" w:styleId="Navtveninternetovodkaz">
    <w:name w:val="Navštívený internetový odkaz"/>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nhideWhenUsed/>
    <w:qFormat/>
    <w:rsid w:val="00240202"/>
    <w:rPr>
      <w:sz w:val="16"/>
      <w:szCs w:val="16"/>
    </w:rPr>
  </w:style>
  <w:style w:type="character" w:customStyle="1" w:styleId="TextkomenteChar">
    <w:name w:val="Text komentáře Char"/>
    <w:basedOn w:val="Standardnpsmoodstavce"/>
    <w:link w:val="Textkomente"/>
    <w:uiPriority w:val="99"/>
    <w:qFormat/>
    <w:rsid w:val="00240202"/>
    <w:rPr>
      <w:lang w:eastAsia="en-US"/>
    </w:rPr>
  </w:style>
  <w:style w:type="character" w:customStyle="1" w:styleId="PedmtkomenteChar">
    <w:name w:val="Předmět komentáře Char"/>
    <w:basedOn w:val="TextkomenteChar"/>
    <w:link w:val="Pedmtkomente"/>
    <w:uiPriority w:val="99"/>
    <w:semiHidden/>
    <w:qFormat/>
    <w:rsid w:val="00240202"/>
    <w:rPr>
      <w:b/>
      <w:bCs/>
      <w:lang w:eastAsia="en-US"/>
    </w:rPr>
  </w:style>
  <w:style w:type="character" w:customStyle="1" w:styleId="Nadpis1Char">
    <w:name w:val="Nadpis 1 Char"/>
    <w:basedOn w:val="Standardnpsmoodstavce"/>
    <w:link w:val="Nadpis1"/>
    <w:uiPriority w:val="9"/>
    <w:qFormat/>
    <w:rsid w:val="00D40698"/>
    <w:rPr>
      <w:rFonts w:asciiTheme="majorHAnsi" w:eastAsiaTheme="majorEastAsia" w:hAnsiTheme="majorHAnsi" w:cstheme="majorBidi"/>
      <w:color w:val="2E74B5" w:themeColor="accent1" w:themeShade="BF"/>
      <w:sz w:val="32"/>
      <w:szCs w:val="32"/>
      <w:lang w:eastAsia="en-US"/>
    </w:rPr>
  </w:style>
  <w:style w:type="character" w:styleId="Nevyeenzmnka">
    <w:name w:val="Unresolved Mention"/>
    <w:basedOn w:val="Standardnpsmoodstavce"/>
    <w:uiPriority w:val="99"/>
    <w:semiHidden/>
    <w:unhideWhenUsed/>
    <w:qFormat/>
    <w:rsid w:val="00D038B4"/>
    <w:rPr>
      <w:color w:val="605E5C"/>
      <w:shd w:val="clear" w:color="auto" w:fill="E1DFDD"/>
    </w:rPr>
  </w:style>
  <w:style w:type="character" w:customStyle="1" w:styleId="TextbublinyChar">
    <w:name w:val="Text bubliny Char"/>
    <w:basedOn w:val="Standardnpsmoodstavce"/>
    <w:link w:val="Textbubliny"/>
    <w:uiPriority w:val="99"/>
    <w:semiHidden/>
    <w:qFormat/>
    <w:rsid w:val="006E019F"/>
    <w:rPr>
      <w:rFonts w:ascii="Segoe UI" w:hAnsi="Segoe UI" w:cs="Segoe UI"/>
      <w:sz w:val="18"/>
      <w:szCs w:val="18"/>
      <w:lang w:eastAsia="en-US"/>
    </w:rPr>
  </w:style>
  <w:style w:type="character" w:customStyle="1" w:styleId="ui-provider">
    <w:name w:val="ui-provider"/>
    <w:basedOn w:val="Standardnpsmoodstavce"/>
    <w:qFormat/>
    <w:rsid w:val="00FC605C"/>
  </w:style>
  <w:style w:type="character" w:customStyle="1" w:styleId="cf01">
    <w:name w:val="cf01"/>
    <w:basedOn w:val="Standardnpsmoodstavce"/>
    <w:qFormat/>
    <w:rsid w:val="0023325C"/>
    <w:rPr>
      <w:rFonts w:ascii="Segoe UI" w:hAnsi="Segoe UI" w:cs="Segoe UI"/>
      <w:sz w:val="18"/>
      <w:szCs w:val="18"/>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unhideWhenUsed/>
    <w:qFormat/>
    <w:rsid w:val="00100651"/>
    <w:pPr>
      <w:spacing w:beforeAutospacing="1"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9A3790"/>
    <w:rPr>
      <w:sz w:val="22"/>
      <w:szCs w:val="22"/>
      <w:lang w:eastAsia="en-US"/>
    </w:rPr>
  </w:style>
  <w:style w:type="paragraph" w:styleId="Textkomente">
    <w:name w:val="annotation text"/>
    <w:basedOn w:val="Normln"/>
    <w:link w:val="TextkomenteChar"/>
    <w:unhideWhenUsed/>
    <w:qFormat/>
    <w:rsid w:val="0024020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40202"/>
    <w:rPr>
      <w:b/>
      <w:bCs/>
    </w:rPr>
  </w:style>
  <w:style w:type="paragraph" w:styleId="Revize">
    <w:name w:val="Revision"/>
    <w:uiPriority w:val="99"/>
    <w:semiHidden/>
    <w:qFormat/>
    <w:rsid w:val="00506F7E"/>
    <w:rPr>
      <w:sz w:val="22"/>
      <w:szCs w:val="22"/>
      <w:lang w:eastAsia="en-US"/>
    </w:rPr>
  </w:style>
  <w:style w:type="paragraph" w:styleId="Textbubliny">
    <w:name w:val="Balloon Text"/>
    <w:basedOn w:val="Normln"/>
    <w:link w:val="TextbublinyChar"/>
    <w:uiPriority w:val="99"/>
    <w:semiHidden/>
    <w:unhideWhenUsed/>
    <w:qFormat/>
    <w:rsid w:val="006E019F"/>
    <w:pPr>
      <w:spacing w:after="0" w:line="240" w:lineRule="auto"/>
    </w:pPr>
    <w:rPr>
      <w:rFonts w:ascii="Segoe UI" w:hAnsi="Segoe UI" w:cs="Segoe UI"/>
      <w:sz w:val="18"/>
      <w:szCs w:val="18"/>
    </w:rPr>
  </w:style>
  <w:style w:type="paragraph" w:styleId="Odstavecseseznamem">
    <w:name w:val="List Paragraph"/>
    <w:basedOn w:val="Normln"/>
    <w:uiPriority w:val="34"/>
    <w:qFormat/>
    <w:rsid w:val="00AE39EC"/>
    <w:pPr>
      <w:ind w:left="720"/>
      <w:contextualSpacing/>
    </w:pPr>
  </w:style>
  <w:style w:type="paragraph" w:customStyle="1" w:styleId="pf0">
    <w:name w:val="pf0"/>
    <w:basedOn w:val="Normln"/>
    <w:qFormat/>
    <w:rsid w:val="0023325C"/>
    <w:pPr>
      <w:spacing w:beforeAutospacing="1" w:afterAutospacing="1" w:line="240" w:lineRule="auto"/>
    </w:pPr>
    <w:rPr>
      <w:rFonts w:ascii="Times New Roman" w:eastAsia="Times New Roman" w:hAnsi="Times New Roman"/>
      <w:sz w:val="24"/>
      <w:szCs w:val="24"/>
      <w:lang w:eastAsia="cs-CZ"/>
    </w:rPr>
  </w:style>
  <w:style w:type="paragraph" w:customStyle="1" w:styleId="Standard">
    <w:name w:val="Standard"/>
    <w:qFormat/>
    <w:rsid w:val="004E3BE5"/>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ln"/>
    <w:rsid w:val="000A071C"/>
    <w:pPr>
      <w:suppressAutoHyphens w:val="0"/>
      <w:spacing w:after="0" w:line="240" w:lineRule="auto"/>
    </w:pPr>
    <w:rPr>
      <w:rFonts w:eastAsiaTheme="minorHAnsi" w:cs="Calibri"/>
      <w:lang w:eastAsia="cs-CZ"/>
    </w:rPr>
  </w:style>
  <w:style w:type="character" w:styleId="Hypertextovodkaz">
    <w:name w:val="Hyperlink"/>
    <w:basedOn w:val="Standardnpsmoodstavce"/>
    <w:uiPriority w:val="99"/>
    <w:unhideWhenUsed/>
    <w:rsid w:val="004C71AB"/>
    <w:rPr>
      <w:color w:val="0563C1" w:themeColor="hyperlink"/>
      <w:u w:val="single"/>
    </w:rPr>
  </w:style>
  <w:style w:type="character" w:customStyle="1" w:styleId="Silnzdraznn">
    <w:name w:val="Silné zdůraznění"/>
    <w:qFormat/>
    <w:rsid w:val="004C71AB"/>
    <w:rPr>
      <w:b/>
      <w:bCs/>
    </w:rPr>
  </w:style>
  <w:style w:type="character" w:styleId="Sledovanodkaz">
    <w:name w:val="FollowedHyperlink"/>
    <w:basedOn w:val="Standardnpsmoodstavce"/>
    <w:uiPriority w:val="99"/>
    <w:semiHidden/>
    <w:unhideWhenUsed/>
    <w:rsid w:val="008C1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53384">
      <w:bodyDiv w:val="1"/>
      <w:marLeft w:val="0"/>
      <w:marRight w:val="0"/>
      <w:marTop w:val="0"/>
      <w:marBottom w:val="0"/>
      <w:divBdr>
        <w:top w:val="none" w:sz="0" w:space="0" w:color="auto"/>
        <w:left w:val="none" w:sz="0" w:space="0" w:color="auto"/>
        <w:bottom w:val="none" w:sz="0" w:space="0" w:color="auto"/>
        <w:right w:val="none" w:sz="0" w:space="0" w:color="auto"/>
      </w:divBdr>
      <w:divsChild>
        <w:div w:id="1062946511">
          <w:marLeft w:val="0"/>
          <w:marRight w:val="0"/>
          <w:marTop w:val="0"/>
          <w:marBottom w:val="0"/>
          <w:divBdr>
            <w:top w:val="single" w:sz="2" w:space="0" w:color="E5E7EB"/>
            <w:left w:val="single" w:sz="2" w:space="0" w:color="E5E7EB"/>
            <w:bottom w:val="single" w:sz="2" w:space="0" w:color="E5E7EB"/>
            <w:right w:val="single" w:sz="6" w:space="0" w:color="E5E7EB"/>
          </w:divBdr>
          <w:divsChild>
            <w:div w:id="1459688454">
              <w:marLeft w:val="0"/>
              <w:marRight w:val="0"/>
              <w:marTop w:val="0"/>
              <w:marBottom w:val="0"/>
              <w:divBdr>
                <w:top w:val="single" w:sz="2" w:space="0" w:color="E5E7EB"/>
                <w:left w:val="single" w:sz="2" w:space="0" w:color="E5E7EB"/>
                <w:bottom w:val="single" w:sz="2" w:space="0" w:color="E5E7EB"/>
                <w:right w:val="single" w:sz="2" w:space="0" w:color="E5E7EB"/>
              </w:divBdr>
              <w:divsChild>
                <w:div w:id="249123027">
                  <w:marLeft w:val="0"/>
                  <w:marRight w:val="0"/>
                  <w:marTop w:val="0"/>
                  <w:marBottom w:val="0"/>
                  <w:divBdr>
                    <w:top w:val="single" w:sz="2" w:space="0" w:color="E5E7EB"/>
                    <w:left w:val="single" w:sz="2" w:space="0" w:color="E5E7EB"/>
                    <w:bottom w:val="single" w:sz="2" w:space="0" w:color="E5E7EB"/>
                    <w:right w:val="single" w:sz="2" w:space="0" w:color="E5E7EB"/>
                  </w:divBdr>
                  <w:divsChild>
                    <w:div w:id="2091660088">
                      <w:marLeft w:val="0"/>
                      <w:marRight w:val="0"/>
                      <w:marTop w:val="0"/>
                      <w:marBottom w:val="0"/>
                      <w:divBdr>
                        <w:top w:val="single" w:sz="2" w:space="0" w:color="E5E7EB"/>
                        <w:left w:val="single" w:sz="2" w:space="0" w:color="E5E7EB"/>
                        <w:bottom w:val="single" w:sz="2" w:space="0" w:color="E5E7EB"/>
                        <w:right w:val="single" w:sz="2" w:space="0" w:color="E5E7EB"/>
                      </w:divBdr>
                      <w:divsChild>
                        <w:div w:id="204176516">
                          <w:marLeft w:val="0"/>
                          <w:marRight w:val="0"/>
                          <w:marTop w:val="0"/>
                          <w:marBottom w:val="0"/>
                          <w:divBdr>
                            <w:top w:val="single" w:sz="2" w:space="0" w:color="E5E7EB"/>
                            <w:left w:val="single" w:sz="2" w:space="0" w:color="E5E7EB"/>
                            <w:bottom w:val="single" w:sz="2" w:space="0" w:color="E5E7EB"/>
                            <w:right w:val="single" w:sz="2" w:space="0" w:color="E5E7EB"/>
                          </w:divBdr>
                          <w:divsChild>
                            <w:div w:id="1486821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78667888">
      <w:bodyDiv w:val="1"/>
      <w:marLeft w:val="0"/>
      <w:marRight w:val="0"/>
      <w:marTop w:val="0"/>
      <w:marBottom w:val="0"/>
      <w:divBdr>
        <w:top w:val="none" w:sz="0" w:space="0" w:color="auto"/>
        <w:left w:val="none" w:sz="0" w:space="0" w:color="auto"/>
        <w:bottom w:val="none" w:sz="0" w:space="0" w:color="auto"/>
        <w:right w:val="none" w:sz="0" w:space="0" w:color="auto"/>
      </w:divBdr>
      <w:divsChild>
        <w:div w:id="536311067">
          <w:marLeft w:val="0"/>
          <w:marRight w:val="0"/>
          <w:marTop w:val="0"/>
          <w:marBottom w:val="0"/>
          <w:divBdr>
            <w:top w:val="single" w:sz="2" w:space="0" w:color="E5E7EB"/>
            <w:left w:val="single" w:sz="2" w:space="0" w:color="E5E7EB"/>
            <w:bottom w:val="single" w:sz="2" w:space="0" w:color="E5E7EB"/>
            <w:right w:val="single" w:sz="6" w:space="0" w:color="E5E7EB"/>
          </w:divBdr>
          <w:divsChild>
            <w:div w:id="1751267650">
              <w:marLeft w:val="0"/>
              <w:marRight w:val="0"/>
              <w:marTop w:val="0"/>
              <w:marBottom w:val="0"/>
              <w:divBdr>
                <w:top w:val="single" w:sz="2" w:space="0" w:color="E5E7EB"/>
                <w:left w:val="single" w:sz="2" w:space="0" w:color="E5E7EB"/>
                <w:bottom w:val="single" w:sz="2" w:space="0" w:color="E5E7EB"/>
                <w:right w:val="single" w:sz="2" w:space="0" w:color="E5E7EB"/>
              </w:divBdr>
              <w:divsChild>
                <w:div w:id="65034129">
                  <w:marLeft w:val="0"/>
                  <w:marRight w:val="0"/>
                  <w:marTop w:val="0"/>
                  <w:marBottom w:val="0"/>
                  <w:divBdr>
                    <w:top w:val="single" w:sz="2" w:space="0" w:color="E5E7EB"/>
                    <w:left w:val="single" w:sz="2" w:space="0" w:color="E5E7EB"/>
                    <w:bottom w:val="single" w:sz="2" w:space="0" w:color="E5E7EB"/>
                    <w:right w:val="single" w:sz="2" w:space="0" w:color="E5E7EB"/>
                  </w:divBdr>
                  <w:divsChild>
                    <w:div w:id="926770537">
                      <w:marLeft w:val="0"/>
                      <w:marRight w:val="0"/>
                      <w:marTop w:val="0"/>
                      <w:marBottom w:val="0"/>
                      <w:divBdr>
                        <w:top w:val="single" w:sz="2" w:space="0" w:color="E5E7EB"/>
                        <w:left w:val="single" w:sz="2" w:space="0" w:color="E5E7EB"/>
                        <w:bottom w:val="single" w:sz="2" w:space="0" w:color="E5E7EB"/>
                        <w:right w:val="single" w:sz="2" w:space="0" w:color="E5E7EB"/>
                      </w:divBdr>
                      <w:divsChild>
                        <w:div w:id="868881017">
                          <w:marLeft w:val="0"/>
                          <w:marRight w:val="0"/>
                          <w:marTop w:val="0"/>
                          <w:marBottom w:val="0"/>
                          <w:divBdr>
                            <w:top w:val="single" w:sz="2" w:space="0" w:color="E5E7EB"/>
                            <w:left w:val="single" w:sz="2" w:space="0" w:color="E5E7EB"/>
                            <w:bottom w:val="single" w:sz="2" w:space="0" w:color="E5E7EB"/>
                            <w:right w:val="single" w:sz="2" w:space="0" w:color="E5E7EB"/>
                          </w:divBdr>
                          <w:divsChild>
                            <w:div w:id="31392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14251852">
      <w:bodyDiv w:val="1"/>
      <w:marLeft w:val="0"/>
      <w:marRight w:val="0"/>
      <w:marTop w:val="0"/>
      <w:marBottom w:val="0"/>
      <w:divBdr>
        <w:top w:val="none" w:sz="0" w:space="0" w:color="auto"/>
        <w:left w:val="none" w:sz="0" w:space="0" w:color="auto"/>
        <w:bottom w:val="none" w:sz="0" w:space="0" w:color="auto"/>
        <w:right w:val="none" w:sz="0" w:space="0" w:color="auto"/>
      </w:divBdr>
      <w:divsChild>
        <w:div w:id="1078020243">
          <w:marLeft w:val="0"/>
          <w:marRight w:val="0"/>
          <w:marTop w:val="0"/>
          <w:marBottom w:val="0"/>
          <w:divBdr>
            <w:top w:val="single" w:sz="2" w:space="0" w:color="E5E7EB"/>
            <w:left w:val="single" w:sz="2" w:space="0" w:color="E5E7EB"/>
            <w:bottom w:val="single" w:sz="2" w:space="0" w:color="E5E7EB"/>
            <w:right w:val="single" w:sz="6" w:space="0" w:color="E5E7EB"/>
          </w:divBdr>
          <w:divsChild>
            <w:div w:id="1276793069">
              <w:marLeft w:val="0"/>
              <w:marRight w:val="0"/>
              <w:marTop w:val="0"/>
              <w:marBottom w:val="0"/>
              <w:divBdr>
                <w:top w:val="single" w:sz="2" w:space="0" w:color="E5E7EB"/>
                <w:left w:val="single" w:sz="2" w:space="0" w:color="E5E7EB"/>
                <w:bottom w:val="single" w:sz="2" w:space="0" w:color="E5E7EB"/>
                <w:right w:val="single" w:sz="2" w:space="0" w:color="E5E7EB"/>
              </w:divBdr>
              <w:divsChild>
                <w:div w:id="2013528867">
                  <w:marLeft w:val="0"/>
                  <w:marRight w:val="0"/>
                  <w:marTop w:val="0"/>
                  <w:marBottom w:val="0"/>
                  <w:divBdr>
                    <w:top w:val="single" w:sz="2" w:space="0" w:color="E5E7EB"/>
                    <w:left w:val="single" w:sz="2" w:space="0" w:color="E5E7EB"/>
                    <w:bottom w:val="single" w:sz="2" w:space="0" w:color="E5E7EB"/>
                    <w:right w:val="single" w:sz="2" w:space="0" w:color="E5E7EB"/>
                  </w:divBdr>
                  <w:divsChild>
                    <w:div w:id="594438361">
                      <w:marLeft w:val="0"/>
                      <w:marRight w:val="0"/>
                      <w:marTop w:val="0"/>
                      <w:marBottom w:val="0"/>
                      <w:divBdr>
                        <w:top w:val="single" w:sz="2" w:space="0" w:color="E5E7EB"/>
                        <w:left w:val="single" w:sz="2" w:space="0" w:color="E5E7EB"/>
                        <w:bottom w:val="single" w:sz="2" w:space="0" w:color="E5E7EB"/>
                        <w:right w:val="single" w:sz="2" w:space="0" w:color="E5E7EB"/>
                      </w:divBdr>
                      <w:divsChild>
                        <w:div w:id="1461457632">
                          <w:marLeft w:val="0"/>
                          <w:marRight w:val="0"/>
                          <w:marTop w:val="0"/>
                          <w:marBottom w:val="0"/>
                          <w:divBdr>
                            <w:top w:val="single" w:sz="2" w:space="0" w:color="E5E7EB"/>
                            <w:left w:val="single" w:sz="2" w:space="0" w:color="E5E7EB"/>
                            <w:bottom w:val="single" w:sz="2" w:space="0" w:color="E5E7EB"/>
                            <w:right w:val="single" w:sz="2" w:space="0" w:color="E5E7EB"/>
                          </w:divBdr>
                          <w:divsChild>
                            <w:div w:id="67114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6264104">
          <w:marLeft w:val="0"/>
          <w:marRight w:val="0"/>
          <w:marTop w:val="0"/>
          <w:marBottom w:val="0"/>
          <w:divBdr>
            <w:top w:val="single" w:sz="2" w:space="0" w:color="E5E7EB"/>
            <w:left w:val="single" w:sz="2" w:space="0" w:color="E5E7EB"/>
            <w:bottom w:val="single" w:sz="2" w:space="0" w:color="E5E7EB"/>
            <w:right w:val="single" w:sz="2" w:space="0" w:color="E5E7EB"/>
          </w:divBdr>
          <w:divsChild>
            <w:div w:id="1055279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376940">
      <w:bodyDiv w:val="1"/>
      <w:marLeft w:val="0"/>
      <w:marRight w:val="0"/>
      <w:marTop w:val="0"/>
      <w:marBottom w:val="0"/>
      <w:divBdr>
        <w:top w:val="none" w:sz="0" w:space="0" w:color="auto"/>
        <w:left w:val="none" w:sz="0" w:space="0" w:color="auto"/>
        <w:bottom w:val="none" w:sz="0" w:space="0" w:color="auto"/>
        <w:right w:val="none" w:sz="0" w:space="0" w:color="auto"/>
      </w:divBdr>
    </w:div>
    <w:div w:id="1509901878">
      <w:bodyDiv w:val="1"/>
      <w:marLeft w:val="0"/>
      <w:marRight w:val="0"/>
      <w:marTop w:val="0"/>
      <w:marBottom w:val="0"/>
      <w:divBdr>
        <w:top w:val="none" w:sz="0" w:space="0" w:color="auto"/>
        <w:left w:val="none" w:sz="0" w:space="0" w:color="auto"/>
        <w:bottom w:val="none" w:sz="0" w:space="0" w:color="auto"/>
        <w:right w:val="none" w:sz="0" w:space="0" w:color="auto"/>
      </w:divBdr>
    </w:div>
    <w:div w:id="196557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lif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life.com/" TargetMode="External"/><Relationship Id="rId5" Type="http://schemas.openxmlformats.org/officeDocument/2006/relationships/styles" Target="styles.xml"/><Relationship Id="rId10" Type="http://schemas.openxmlformats.org/officeDocument/2006/relationships/hyperlink" Target="mailto:veronika.hasova@crestcom.cz" TargetMode="External"/><Relationship Id="rId4" Type="http://schemas.openxmlformats.org/officeDocument/2006/relationships/customXml" Target="../customXml/item4.xml"/><Relationship Id="rId9" Type="http://schemas.openxmlformats.org/officeDocument/2006/relationships/hyperlink" Target="https://www.cssz.cz/documents/20143/2736104/Vypl%C3%A1cen%C3%A9%20invalidn%C3%AD%20d%C5%AFchody%20dle%20skupin%20diagn%C3%B3z2023.pdf/04354ef0-617a-263a-90ba-6239a13acf7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7B3C5-FC59-4B65-9D4C-246CFB30435F}">
  <ds:schemaRefs>
    <ds:schemaRef ds:uri="http://schemas.openxmlformats.org/officeDocument/2006/bibliography"/>
  </ds:schemaRefs>
</ds:datastoreItem>
</file>

<file path=customXml/itemProps2.xml><?xml version="1.0" encoding="utf-8"?>
<ds:datastoreItem xmlns:ds="http://schemas.openxmlformats.org/officeDocument/2006/customXml" ds:itemID="{4F37D1A1-F753-462A-A28D-57D8D7C36A52}">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3.xml><?xml version="1.0" encoding="utf-8"?>
<ds:datastoreItem xmlns:ds="http://schemas.openxmlformats.org/officeDocument/2006/customXml" ds:itemID="{DD079C82-AC5E-4B2F-A1D2-5C659138C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D25FA-1757-4EA8-B49D-5095B4F2C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5244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MetLife pojišťovna, a.s.</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dc:description/>
  <cp:lastModifiedBy>Dagmar Koutská</cp:lastModifiedBy>
  <cp:revision>4</cp:revision>
  <dcterms:created xsi:type="dcterms:W3CDTF">2025-01-21T21:09:00Z</dcterms:created>
  <dcterms:modified xsi:type="dcterms:W3CDTF">2025-01-21T21:11:00Z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GrammarlyDocumentId">
    <vt:lpwstr>b05aef25212b8d92f31f4fe35d64baf08ac388dc0b262a146afd25abecce69b2</vt:lpwstr>
  </property>
  <property fmtid="{D5CDD505-2E9C-101B-9397-08002B2CF9AE}" pid="4" name="MediaServiceImageTags">
    <vt:lpwstr/>
  </property>
</Properties>
</file>