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2BA28E" w14:textId="77777777" w:rsidR="00297AE2" w:rsidRPr="00461BF0" w:rsidRDefault="00297AE2" w:rsidP="00297AE2">
      <w:pPr>
        <w:ind w:right="-50"/>
        <w:jc w:val="right"/>
        <w:rPr>
          <w:rFonts w:ascii="Arial" w:hAnsi="Arial" w:cs="Arial"/>
          <w:b/>
          <w:noProof/>
          <w:sz w:val="24"/>
          <w:szCs w:val="24"/>
        </w:rPr>
      </w:pPr>
      <w:r w:rsidRPr="00461BF0">
        <w:rPr>
          <w:noProof/>
        </w:rPr>
        <w:drawing>
          <wp:inline distT="0" distB="0" distL="0" distR="0" wp14:anchorId="32E2254D" wp14:editId="28BDBB7D">
            <wp:extent cx="3019425" cy="762000"/>
            <wp:effectExtent l="0" t="0" r="9525" b="0"/>
            <wp:docPr id="1883670364" name="Obrázek 1883670364" descr="PRF-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0">
                      <a:extLst>
                        <a:ext uri="{28A0092B-C50C-407E-A947-70E740481C1C}">
                          <a14:useLocalDpi xmlns:a14="http://schemas.microsoft.com/office/drawing/2010/main" val="0"/>
                        </a:ext>
                      </a:extLst>
                    </a:blip>
                    <a:stretch>
                      <a:fillRect/>
                    </a:stretch>
                  </pic:blipFill>
                  <pic:spPr>
                    <a:xfrm>
                      <a:off x="0" y="0"/>
                      <a:ext cx="3019425" cy="762000"/>
                    </a:xfrm>
                    <a:prstGeom prst="rect">
                      <a:avLst/>
                    </a:prstGeom>
                  </pic:spPr>
                </pic:pic>
              </a:graphicData>
            </a:graphic>
          </wp:inline>
        </w:drawing>
      </w:r>
    </w:p>
    <w:p w14:paraId="3A07E087" w14:textId="3D105635" w:rsidR="00297AE2" w:rsidRPr="00461BF0" w:rsidRDefault="00297AE2" w:rsidP="00297AE2">
      <w:pPr>
        <w:ind w:right="-50"/>
        <w:rPr>
          <w:rFonts w:ascii="Arial" w:hAnsi="Arial" w:cs="Arial"/>
          <w:b/>
          <w:noProof/>
          <w:sz w:val="24"/>
          <w:szCs w:val="24"/>
        </w:rPr>
      </w:pPr>
      <w:r w:rsidRPr="00461BF0">
        <w:rPr>
          <w:rFonts w:ascii="Arial" w:hAnsi="Arial" w:cs="Arial"/>
          <w:b/>
          <w:noProof/>
          <w:sz w:val="24"/>
          <w:szCs w:val="24"/>
        </w:rPr>
        <w:t xml:space="preserve">Press </w:t>
      </w:r>
      <w:r w:rsidR="00BC3D6D" w:rsidRPr="00461BF0">
        <w:rPr>
          <w:rFonts w:ascii="Arial" w:hAnsi="Arial" w:cs="Arial"/>
          <w:b/>
          <w:noProof/>
          <w:sz w:val="24"/>
          <w:szCs w:val="24"/>
        </w:rPr>
        <w:t>R</w:t>
      </w:r>
      <w:r w:rsidRPr="00461BF0">
        <w:rPr>
          <w:rFonts w:ascii="Arial" w:hAnsi="Arial" w:cs="Arial"/>
          <w:b/>
          <w:noProof/>
          <w:sz w:val="24"/>
          <w:szCs w:val="24"/>
        </w:rPr>
        <w:t>elease</w:t>
      </w:r>
    </w:p>
    <w:p w14:paraId="5B3D64B2" w14:textId="77777777" w:rsidR="00297AE2" w:rsidRPr="00461BF0" w:rsidRDefault="00297AE2" w:rsidP="00297AE2">
      <w:pPr>
        <w:jc w:val="both"/>
        <w:rPr>
          <w:rFonts w:ascii="Arial" w:hAnsi="Arial" w:cs="Arial"/>
          <w:noProof/>
          <w:sz w:val="10"/>
          <w:szCs w:val="10"/>
        </w:rPr>
      </w:pPr>
    </w:p>
    <w:p w14:paraId="5D4CEFB5" w14:textId="1C0DB2A1" w:rsidR="00297AE2" w:rsidRPr="00461BF0" w:rsidRDefault="00297AE2" w:rsidP="00297AE2">
      <w:pPr>
        <w:jc w:val="both"/>
        <w:rPr>
          <w:rFonts w:ascii="Arial" w:hAnsi="Arial" w:cs="Arial"/>
          <w:noProof/>
        </w:rPr>
      </w:pPr>
      <w:r w:rsidRPr="00461BF0">
        <w:rPr>
          <w:rFonts w:ascii="Arial" w:hAnsi="Arial" w:cs="Arial"/>
          <w:noProof/>
        </w:rPr>
        <w:t xml:space="preserve">Prague, </w:t>
      </w:r>
      <w:r w:rsidR="00D32F24" w:rsidRPr="00461BF0">
        <w:rPr>
          <w:rFonts w:ascii="Arial" w:hAnsi="Arial" w:cs="Arial"/>
          <w:noProof/>
        </w:rPr>
        <w:t>2</w:t>
      </w:r>
      <w:r w:rsidR="00B9249F">
        <w:rPr>
          <w:rFonts w:ascii="Arial" w:hAnsi="Arial" w:cs="Arial"/>
          <w:noProof/>
        </w:rPr>
        <w:t>3</w:t>
      </w:r>
      <w:r w:rsidRPr="00461BF0">
        <w:rPr>
          <w:rFonts w:ascii="Arial" w:hAnsi="Arial" w:cs="Arial"/>
          <w:noProof/>
        </w:rPr>
        <w:t xml:space="preserve"> </w:t>
      </w:r>
      <w:r w:rsidR="000012D3" w:rsidRPr="00461BF0">
        <w:rPr>
          <w:rFonts w:ascii="Arial" w:hAnsi="Arial" w:cs="Arial"/>
          <w:noProof/>
        </w:rPr>
        <w:t>July</w:t>
      </w:r>
      <w:r w:rsidR="00AA6065" w:rsidRPr="00461BF0">
        <w:rPr>
          <w:rFonts w:ascii="Arial" w:hAnsi="Arial" w:cs="Arial"/>
          <w:noProof/>
        </w:rPr>
        <w:t xml:space="preserve"> </w:t>
      </w:r>
      <w:r w:rsidRPr="00461BF0">
        <w:rPr>
          <w:rFonts w:ascii="Arial" w:hAnsi="Arial" w:cs="Arial"/>
          <w:noProof/>
        </w:rPr>
        <w:t>202</w:t>
      </w:r>
      <w:r w:rsidR="0086109D" w:rsidRPr="00461BF0">
        <w:rPr>
          <w:rFonts w:ascii="Arial" w:hAnsi="Arial" w:cs="Arial"/>
          <w:noProof/>
        </w:rPr>
        <w:t>5</w:t>
      </w:r>
    </w:p>
    <w:p w14:paraId="6B94D3EF" w14:textId="77777777" w:rsidR="00297AE2" w:rsidRPr="00461BF0" w:rsidRDefault="00297AE2" w:rsidP="00297AE2">
      <w:pPr>
        <w:jc w:val="both"/>
        <w:rPr>
          <w:rFonts w:ascii="Arial" w:hAnsi="Arial" w:cs="Arial"/>
          <w:noProof/>
        </w:rPr>
      </w:pPr>
    </w:p>
    <w:p w14:paraId="7D11F180" w14:textId="6EA209DF" w:rsidR="00297AE2" w:rsidRPr="00461BF0" w:rsidRDefault="00AA6065" w:rsidP="7FD9C242">
      <w:pPr>
        <w:outlineLvl w:val="0"/>
        <w:rPr>
          <w:rFonts w:ascii="Arial" w:hAnsi="Arial" w:cs="Arial"/>
          <w:b/>
          <w:bCs/>
          <w:sz w:val="24"/>
          <w:szCs w:val="24"/>
        </w:rPr>
      </w:pPr>
      <w:r w:rsidRPr="00461BF0">
        <w:rPr>
          <w:rFonts w:ascii="Arial" w:hAnsi="Arial" w:cs="Arial"/>
          <w:b/>
          <w:bCs/>
          <w:sz w:val="24"/>
          <w:szCs w:val="24"/>
        </w:rPr>
        <w:t>Q</w:t>
      </w:r>
      <w:r w:rsidR="00C03464" w:rsidRPr="00461BF0">
        <w:rPr>
          <w:rFonts w:ascii="Arial" w:hAnsi="Arial" w:cs="Arial"/>
          <w:b/>
          <w:bCs/>
          <w:sz w:val="24"/>
          <w:szCs w:val="24"/>
        </w:rPr>
        <w:t>2</w:t>
      </w:r>
      <w:r w:rsidRPr="00461BF0">
        <w:rPr>
          <w:rFonts w:ascii="Arial" w:hAnsi="Arial" w:cs="Arial"/>
          <w:b/>
          <w:bCs/>
          <w:sz w:val="24"/>
          <w:szCs w:val="24"/>
        </w:rPr>
        <w:t xml:space="preserve"> 202</w:t>
      </w:r>
      <w:r w:rsidR="0086109D" w:rsidRPr="00461BF0">
        <w:rPr>
          <w:rFonts w:ascii="Arial" w:hAnsi="Arial" w:cs="Arial"/>
          <w:b/>
          <w:bCs/>
          <w:sz w:val="24"/>
          <w:szCs w:val="24"/>
        </w:rPr>
        <w:t>5</w:t>
      </w:r>
      <w:r w:rsidR="00C03464" w:rsidRPr="00461BF0">
        <w:rPr>
          <w:rFonts w:ascii="Arial" w:hAnsi="Arial" w:cs="Arial"/>
          <w:b/>
          <w:bCs/>
          <w:sz w:val="24"/>
          <w:szCs w:val="24"/>
        </w:rPr>
        <w:t xml:space="preserve">: Prague office market sees an increase in construction activity </w:t>
      </w:r>
    </w:p>
    <w:p w14:paraId="7E422C32" w14:textId="4B2FE5FF" w:rsidR="7FD9C242" w:rsidRPr="00461BF0" w:rsidRDefault="7FD9C242" w:rsidP="7FD9C242">
      <w:pPr>
        <w:outlineLvl w:val="0"/>
        <w:rPr>
          <w:rFonts w:ascii="Arial" w:hAnsi="Arial" w:cs="Arial"/>
          <w:b/>
          <w:bCs/>
          <w:sz w:val="24"/>
          <w:szCs w:val="24"/>
        </w:rPr>
      </w:pPr>
    </w:p>
    <w:p w14:paraId="346AAE71" w14:textId="0FF201DA" w:rsidR="00297AE2" w:rsidRPr="00461BF0" w:rsidRDefault="00297AE2" w:rsidP="2CEA2857">
      <w:pPr>
        <w:outlineLvl w:val="0"/>
        <w:rPr>
          <w:rFonts w:ascii="Arial" w:hAnsi="Arial" w:cs="Arial"/>
          <w:i/>
          <w:iCs/>
          <w:color w:val="333333"/>
          <w:shd w:val="clear" w:color="auto" w:fill="FFFFFF"/>
          <w:lang w:eastAsia="en-GB"/>
        </w:rPr>
      </w:pPr>
      <w:r w:rsidRPr="00461BF0">
        <w:rPr>
          <w:rFonts w:ascii="Arial" w:hAnsi="Arial" w:cs="Arial"/>
          <w:i/>
          <w:iCs/>
          <w:color w:val="333333"/>
          <w:shd w:val="clear" w:color="auto" w:fill="FFFFFF"/>
          <w:lang w:eastAsia="en-GB"/>
        </w:rPr>
        <w:t>Prague Research Forum Announces Office Market Figures for Q</w:t>
      </w:r>
      <w:r w:rsidR="008B50C6" w:rsidRPr="00461BF0">
        <w:rPr>
          <w:rFonts w:ascii="Arial" w:hAnsi="Arial" w:cs="Arial"/>
          <w:i/>
          <w:iCs/>
          <w:color w:val="333333"/>
          <w:shd w:val="clear" w:color="auto" w:fill="FFFFFF"/>
          <w:lang w:eastAsia="en-GB"/>
        </w:rPr>
        <w:t>2</w:t>
      </w:r>
      <w:r w:rsidRPr="00461BF0">
        <w:rPr>
          <w:rFonts w:ascii="Arial" w:hAnsi="Arial" w:cs="Arial"/>
          <w:i/>
          <w:iCs/>
          <w:color w:val="333333"/>
          <w:shd w:val="clear" w:color="auto" w:fill="FFFFFF"/>
          <w:lang w:eastAsia="en-GB"/>
        </w:rPr>
        <w:t xml:space="preserve"> 202</w:t>
      </w:r>
      <w:r w:rsidR="0086109D" w:rsidRPr="00461BF0">
        <w:rPr>
          <w:rFonts w:ascii="Arial" w:hAnsi="Arial" w:cs="Arial"/>
          <w:i/>
          <w:iCs/>
          <w:color w:val="333333"/>
          <w:shd w:val="clear" w:color="auto" w:fill="FFFFFF"/>
          <w:lang w:eastAsia="en-GB"/>
        </w:rPr>
        <w:t>5</w:t>
      </w:r>
    </w:p>
    <w:p w14:paraId="7BB2F11A" w14:textId="77777777" w:rsidR="00297AE2" w:rsidRPr="00461BF0" w:rsidRDefault="00297AE2" w:rsidP="00297AE2">
      <w:pPr>
        <w:jc w:val="center"/>
        <w:outlineLvl w:val="0"/>
        <w:rPr>
          <w:rFonts w:ascii="Arial" w:hAnsi="Arial" w:cs="Arial"/>
          <w:i/>
          <w:iCs/>
          <w:color w:val="FF0000"/>
          <w:shd w:val="clear" w:color="auto" w:fill="FFFFFF"/>
          <w:lang w:eastAsia="en-GB"/>
        </w:rPr>
      </w:pPr>
    </w:p>
    <w:p w14:paraId="33A9E0C4" w14:textId="77777777" w:rsidR="001733B2" w:rsidRPr="00461BF0" w:rsidRDefault="001733B2" w:rsidP="001733B2">
      <w:pPr>
        <w:numPr>
          <w:ilvl w:val="0"/>
          <w:numId w:val="5"/>
        </w:numPr>
        <w:spacing w:before="100" w:beforeAutospacing="1" w:after="100" w:afterAutospacing="1"/>
        <w:rPr>
          <w:rFonts w:ascii="Arial" w:hAnsi="Arial"/>
          <w:b/>
          <w:kern w:val="28"/>
        </w:rPr>
      </w:pPr>
      <w:r w:rsidRPr="00461BF0">
        <w:rPr>
          <w:rFonts w:ascii="Arial" w:hAnsi="Arial"/>
          <w:b/>
          <w:kern w:val="28"/>
        </w:rPr>
        <w:t>Almost 212,600 sq m of office space is under construction  </w:t>
      </w:r>
    </w:p>
    <w:p w14:paraId="17209B4B" w14:textId="4F017D9E" w:rsidR="001733B2" w:rsidRPr="00461BF0" w:rsidRDefault="001733B2" w:rsidP="001733B2">
      <w:pPr>
        <w:numPr>
          <w:ilvl w:val="0"/>
          <w:numId w:val="5"/>
        </w:numPr>
        <w:spacing w:before="100" w:beforeAutospacing="1" w:after="100" w:afterAutospacing="1"/>
        <w:rPr>
          <w:rFonts w:ascii="Arial" w:hAnsi="Arial"/>
          <w:b/>
          <w:kern w:val="28"/>
        </w:rPr>
      </w:pPr>
      <w:r w:rsidRPr="00461BF0">
        <w:rPr>
          <w:rFonts w:ascii="Arial" w:hAnsi="Arial"/>
          <w:b/>
          <w:kern w:val="28"/>
        </w:rPr>
        <w:t xml:space="preserve">Only two smaller projects </w:t>
      </w:r>
      <w:r w:rsidR="003136CF" w:rsidRPr="00461BF0">
        <w:rPr>
          <w:rFonts w:ascii="Arial" w:hAnsi="Arial"/>
          <w:b/>
          <w:kern w:val="28"/>
        </w:rPr>
        <w:t xml:space="preserve">totalling </w:t>
      </w:r>
      <w:r w:rsidRPr="00461BF0">
        <w:rPr>
          <w:rFonts w:ascii="Arial" w:hAnsi="Arial"/>
          <w:b/>
          <w:kern w:val="28"/>
        </w:rPr>
        <w:t>6,600 sq m were completed in Q2  </w:t>
      </w:r>
    </w:p>
    <w:p w14:paraId="58F248C9" w14:textId="77777777" w:rsidR="001733B2" w:rsidRPr="00461BF0" w:rsidRDefault="001733B2" w:rsidP="001733B2">
      <w:pPr>
        <w:numPr>
          <w:ilvl w:val="0"/>
          <w:numId w:val="5"/>
        </w:numPr>
        <w:spacing w:before="100" w:beforeAutospacing="1" w:after="100" w:afterAutospacing="1"/>
        <w:rPr>
          <w:rFonts w:ascii="Arial" w:hAnsi="Arial"/>
          <w:b/>
          <w:kern w:val="28"/>
        </w:rPr>
      </w:pPr>
      <w:r w:rsidRPr="00461BF0">
        <w:rPr>
          <w:rFonts w:ascii="Arial" w:hAnsi="Arial"/>
          <w:b/>
          <w:kern w:val="28"/>
        </w:rPr>
        <w:t>Gross take-up in Q2 reached 164,800 sq m  </w:t>
      </w:r>
    </w:p>
    <w:p w14:paraId="61DF3E3B" w14:textId="075D0D9F" w:rsidR="001733B2" w:rsidRPr="00461BF0" w:rsidRDefault="001733B2" w:rsidP="001733B2">
      <w:pPr>
        <w:numPr>
          <w:ilvl w:val="0"/>
          <w:numId w:val="5"/>
        </w:numPr>
        <w:spacing w:before="100" w:beforeAutospacing="1" w:after="100" w:afterAutospacing="1"/>
        <w:rPr>
          <w:rFonts w:ascii="Arial" w:hAnsi="Arial"/>
          <w:b/>
          <w:kern w:val="28"/>
        </w:rPr>
      </w:pPr>
      <w:r w:rsidRPr="00461BF0">
        <w:rPr>
          <w:rFonts w:ascii="Arial" w:hAnsi="Arial"/>
          <w:b/>
          <w:kern w:val="28"/>
        </w:rPr>
        <w:t>Net take-up in Q2 reached 110,300 sq m, of which 6</w:t>
      </w:r>
      <w:r w:rsidR="000F7F60" w:rsidRPr="00461BF0">
        <w:rPr>
          <w:rFonts w:ascii="Arial" w:hAnsi="Arial"/>
          <w:b/>
          <w:kern w:val="28"/>
        </w:rPr>
        <w:t>2</w:t>
      </w:r>
      <w:r w:rsidRPr="00461BF0">
        <w:rPr>
          <w:rFonts w:ascii="Arial" w:hAnsi="Arial"/>
          <w:b/>
          <w:kern w:val="28"/>
        </w:rPr>
        <w:t>,000 sq m were owner-occupied deals  </w:t>
      </w:r>
    </w:p>
    <w:p w14:paraId="4C6336E6" w14:textId="77777777" w:rsidR="001733B2" w:rsidRPr="00461BF0" w:rsidRDefault="001733B2" w:rsidP="001733B2">
      <w:pPr>
        <w:numPr>
          <w:ilvl w:val="0"/>
          <w:numId w:val="5"/>
        </w:numPr>
        <w:spacing w:before="100" w:beforeAutospacing="1" w:after="100" w:afterAutospacing="1"/>
        <w:rPr>
          <w:rFonts w:ascii="Arial" w:hAnsi="Arial"/>
          <w:b/>
          <w:kern w:val="28"/>
        </w:rPr>
      </w:pPr>
      <w:r w:rsidRPr="00461BF0">
        <w:rPr>
          <w:rFonts w:ascii="Arial" w:hAnsi="Arial"/>
          <w:b/>
          <w:kern w:val="28"/>
        </w:rPr>
        <w:t>Net absorption remained positive at 23,800 sq m in Q2  </w:t>
      </w:r>
    </w:p>
    <w:p w14:paraId="153DEAC0" w14:textId="3D0F1792" w:rsidR="001733B2" w:rsidRPr="00461BF0" w:rsidRDefault="001733B2" w:rsidP="001733B2">
      <w:pPr>
        <w:numPr>
          <w:ilvl w:val="0"/>
          <w:numId w:val="5"/>
        </w:numPr>
        <w:spacing w:before="100" w:beforeAutospacing="1" w:after="100" w:afterAutospacing="1"/>
        <w:rPr>
          <w:rFonts w:ascii="Arial" w:hAnsi="Arial"/>
          <w:b/>
          <w:kern w:val="28"/>
        </w:rPr>
      </w:pPr>
      <w:r w:rsidRPr="00461BF0">
        <w:rPr>
          <w:rFonts w:ascii="Arial" w:hAnsi="Arial"/>
          <w:b/>
          <w:kern w:val="28"/>
        </w:rPr>
        <w:t xml:space="preserve">Vacancy rate decreased by </w:t>
      </w:r>
      <w:r w:rsidR="00EF62A2" w:rsidRPr="00461BF0">
        <w:rPr>
          <w:rFonts w:ascii="Arial" w:hAnsi="Arial"/>
          <w:b/>
          <w:kern w:val="28"/>
        </w:rPr>
        <w:t>131</w:t>
      </w:r>
      <w:r w:rsidR="00F645E3" w:rsidRPr="00461BF0">
        <w:rPr>
          <w:rFonts w:ascii="Arial" w:hAnsi="Arial"/>
          <w:b/>
          <w:kern w:val="28"/>
        </w:rPr>
        <w:t xml:space="preserve"> </w:t>
      </w:r>
      <w:r w:rsidRPr="00461BF0">
        <w:rPr>
          <w:rFonts w:ascii="Arial" w:hAnsi="Arial"/>
          <w:b/>
          <w:kern w:val="28"/>
        </w:rPr>
        <w:t>bps year-on-year to 6.6%  </w:t>
      </w:r>
    </w:p>
    <w:p w14:paraId="03638F63" w14:textId="78AD3A72" w:rsidR="001733B2" w:rsidRPr="00461BF0" w:rsidRDefault="001733B2" w:rsidP="001733B2">
      <w:pPr>
        <w:numPr>
          <w:ilvl w:val="0"/>
          <w:numId w:val="5"/>
        </w:numPr>
        <w:spacing w:before="100" w:beforeAutospacing="1" w:after="100" w:afterAutospacing="1"/>
        <w:rPr>
          <w:rFonts w:eastAsia="Times New Roman"/>
          <w:sz w:val="24"/>
          <w:szCs w:val="24"/>
          <w:lang w:eastAsia="cs-CZ"/>
        </w:rPr>
      </w:pPr>
      <w:r w:rsidRPr="00461BF0">
        <w:rPr>
          <w:rFonts w:ascii="Arial" w:hAnsi="Arial"/>
          <w:b/>
          <w:kern w:val="28"/>
        </w:rPr>
        <w:t xml:space="preserve">Prime rent </w:t>
      </w:r>
      <w:r w:rsidR="0018748D" w:rsidRPr="00461BF0">
        <w:rPr>
          <w:rFonts w:ascii="Arial" w:hAnsi="Arial"/>
          <w:b/>
          <w:kern w:val="28"/>
        </w:rPr>
        <w:t>remained</w:t>
      </w:r>
      <w:r w:rsidRPr="00461BF0">
        <w:rPr>
          <w:rFonts w:ascii="Arial" w:hAnsi="Arial"/>
          <w:b/>
          <w:kern w:val="28"/>
        </w:rPr>
        <w:t xml:space="preserve"> at €29.00–30.00/sq m/month</w:t>
      </w:r>
      <w:r w:rsidRPr="00461BF0">
        <w:rPr>
          <w:rFonts w:eastAsia="Times New Roman"/>
          <w:sz w:val="24"/>
          <w:szCs w:val="24"/>
          <w:lang w:eastAsia="cs-CZ"/>
        </w:rPr>
        <w:t>  </w:t>
      </w:r>
    </w:p>
    <w:p w14:paraId="02C6BD58" w14:textId="77777777" w:rsidR="00297AE2" w:rsidRPr="00461BF0" w:rsidRDefault="00297AE2" w:rsidP="00297AE2">
      <w:pPr>
        <w:pStyle w:val="Nadpis1"/>
      </w:pPr>
      <w:r w:rsidRPr="00461BF0">
        <w:t>Introduction</w:t>
      </w:r>
    </w:p>
    <w:p w14:paraId="1D5A7884" w14:textId="28F5FD63" w:rsidR="00297AE2" w:rsidRPr="00461BF0" w:rsidRDefault="00297AE2" w:rsidP="00297AE2">
      <w:pPr>
        <w:spacing w:after="120"/>
        <w:jc w:val="both"/>
        <w:rPr>
          <w:rFonts w:ascii="Arial" w:hAnsi="Arial" w:cs="Arial"/>
          <w:sz w:val="18"/>
          <w:szCs w:val="18"/>
        </w:rPr>
      </w:pPr>
      <w:r w:rsidRPr="00461BF0">
        <w:rPr>
          <w:rFonts w:ascii="Arial" w:hAnsi="Arial" w:cs="Arial"/>
          <w:sz w:val="18"/>
          <w:szCs w:val="18"/>
        </w:rPr>
        <w:t xml:space="preserve">Prague Research Forum is pleased to announce </w:t>
      </w:r>
      <w:r w:rsidR="00BC3D6D" w:rsidRPr="00461BF0">
        <w:rPr>
          <w:rFonts w:ascii="Arial" w:hAnsi="Arial" w:cs="Arial"/>
          <w:sz w:val="18"/>
          <w:szCs w:val="18"/>
        </w:rPr>
        <w:t xml:space="preserve">the </w:t>
      </w:r>
      <w:r w:rsidRPr="00461BF0">
        <w:rPr>
          <w:rFonts w:ascii="Arial" w:hAnsi="Arial" w:cs="Arial"/>
          <w:sz w:val="18"/>
          <w:szCs w:val="18"/>
        </w:rPr>
        <w:t xml:space="preserve">office market figures for the </w:t>
      </w:r>
      <w:r w:rsidR="008B50C6" w:rsidRPr="00461BF0">
        <w:rPr>
          <w:rFonts w:ascii="Arial" w:hAnsi="Arial" w:cs="Arial"/>
          <w:sz w:val="18"/>
          <w:szCs w:val="18"/>
        </w:rPr>
        <w:t>second</w:t>
      </w:r>
      <w:r w:rsidR="00AA6065" w:rsidRPr="00461BF0">
        <w:rPr>
          <w:rFonts w:ascii="Arial" w:hAnsi="Arial" w:cs="Arial"/>
          <w:sz w:val="18"/>
          <w:szCs w:val="18"/>
        </w:rPr>
        <w:t xml:space="preserve"> quarter</w:t>
      </w:r>
      <w:r w:rsidRPr="00461BF0">
        <w:rPr>
          <w:rFonts w:ascii="Arial" w:hAnsi="Arial" w:cs="Arial"/>
          <w:sz w:val="18"/>
          <w:szCs w:val="18"/>
        </w:rPr>
        <w:t xml:space="preserve"> of 202</w:t>
      </w:r>
      <w:r w:rsidR="0086109D" w:rsidRPr="00461BF0">
        <w:rPr>
          <w:rFonts w:ascii="Arial" w:hAnsi="Arial" w:cs="Arial"/>
          <w:sz w:val="18"/>
          <w:szCs w:val="18"/>
        </w:rPr>
        <w:t>5</w:t>
      </w:r>
      <w:r w:rsidRPr="00461BF0">
        <w:rPr>
          <w:rFonts w:ascii="Arial" w:hAnsi="Arial" w:cs="Arial"/>
          <w:sz w:val="18"/>
          <w:szCs w:val="18"/>
        </w:rPr>
        <w:t xml:space="preserve">. The members of the Prague Research Forum – CBRE, Colliers, Cushman &amp; Wakefield, </w:t>
      </w:r>
      <w:r w:rsidR="005A51A8" w:rsidRPr="00461BF0">
        <w:rPr>
          <w:rFonts w:ascii="Arial" w:hAnsi="Arial" w:cs="Arial"/>
          <w:sz w:val="18"/>
          <w:szCs w:val="18"/>
        </w:rPr>
        <w:t>iO Partners</w:t>
      </w:r>
      <w:r w:rsidRPr="00461BF0">
        <w:rPr>
          <w:rFonts w:ascii="Arial" w:hAnsi="Arial" w:cs="Arial"/>
          <w:sz w:val="18"/>
          <w:szCs w:val="18"/>
        </w:rPr>
        <w:t>, Knight Frank</w:t>
      </w:r>
      <w:r w:rsidR="000F136A" w:rsidRPr="00461BF0">
        <w:rPr>
          <w:rFonts w:ascii="Arial" w:hAnsi="Arial" w:cs="Arial"/>
          <w:sz w:val="18"/>
          <w:szCs w:val="18"/>
        </w:rPr>
        <w:t xml:space="preserve"> and Savills</w:t>
      </w:r>
      <w:r w:rsidRPr="00461BF0">
        <w:rPr>
          <w:rFonts w:ascii="Arial" w:hAnsi="Arial" w:cs="Arial"/>
          <w:sz w:val="18"/>
          <w:szCs w:val="18"/>
        </w:rPr>
        <w:t xml:space="preserve"> – share non-sensitive information </w:t>
      </w:r>
      <w:r w:rsidR="0080030D" w:rsidRPr="00461BF0">
        <w:rPr>
          <w:rFonts w:ascii="Arial" w:hAnsi="Arial" w:cs="Arial"/>
          <w:sz w:val="18"/>
          <w:szCs w:val="18"/>
        </w:rPr>
        <w:t>with the intention of</w:t>
      </w:r>
      <w:r w:rsidRPr="00461BF0">
        <w:rPr>
          <w:rFonts w:ascii="Arial" w:hAnsi="Arial" w:cs="Arial"/>
          <w:sz w:val="18"/>
          <w:szCs w:val="18"/>
        </w:rPr>
        <w:t xml:space="preserve"> provid</w:t>
      </w:r>
      <w:r w:rsidR="0080030D" w:rsidRPr="00461BF0">
        <w:rPr>
          <w:rFonts w:ascii="Arial" w:hAnsi="Arial" w:cs="Arial"/>
          <w:sz w:val="18"/>
          <w:szCs w:val="18"/>
        </w:rPr>
        <w:t>ing</w:t>
      </w:r>
      <w:r w:rsidRPr="00461BF0">
        <w:rPr>
          <w:rFonts w:ascii="Arial" w:hAnsi="Arial" w:cs="Arial"/>
          <w:sz w:val="18"/>
          <w:szCs w:val="18"/>
        </w:rPr>
        <w:t xml:space="preserve"> consistent, accurate and transparent data about the Prague office market.</w:t>
      </w:r>
    </w:p>
    <w:p w14:paraId="32CE257D" w14:textId="516E531E" w:rsidR="00297AE2" w:rsidRPr="00461BF0" w:rsidRDefault="00297AE2" w:rsidP="00297AE2">
      <w:pPr>
        <w:spacing w:after="120"/>
        <w:jc w:val="both"/>
        <w:rPr>
          <w:rFonts w:ascii="Arial" w:hAnsi="Arial" w:cs="Arial"/>
          <w:sz w:val="18"/>
          <w:szCs w:val="18"/>
        </w:rPr>
      </w:pPr>
      <w:r w:rsidRPr="00461BF0">
        <w:rPr>
          <w:rFonts w:ascii="Arial" w:hAnsi="Arial" w:cs="Arial"/>
          <w:sz w:val="18"/>
          <w:szCs w:val="18"/>
        </w:rPr>
        <w:t>RICS supports the activities of the Prague Research Forum.</w:t>
      </w:r>
    </w:p>
    <w:p w14:paraId="5D99F6D5" w14:textId="0EBBFA88" w:rsidR="00AE4912" w:rsidRPr="00461BF0" w:rsidRDefault="00AE4912" w:rsidP="00AE4912">
      <w:pPr>
        <w:pStyle w:val="Nadpis1"/>
        <w:rPr>
          <w:rFonts w:cs="Arial"/>
          <w:sz w:val="18"/>
          <w:szCs w:val="18"/>
        </w:rPr>
      </w:pPr>
      <w:r w:rsidRPr="00461BF0">
        <w:rPr>
          <w:rFonts w:cs="Arial"/>
          <w:sz w:val="18"/>
          <w:szCs w:val="18"/>
        </w:rPr>
        <w:t>Commentary</w:t>
      </w:r>
    </w:p>
    <w:p w14:paraId="360D3A5B" w14:textId="0F598039" w:rsidR="00AA6065" w:rsidRPr="00461BF0" w:rsidRDefault="0086109D" w:rsidP="00AA6065">
      <w:pPr>
        <w:pStyle w:val="BodyCopy"/>
        <w:jc w:val="both"/>
        <w:rPr>
          <w:rFonts w:ascii="Arial" w:hAnsi="Arial" w:cs="Arial"/>
          <w:sz w:val="18"/>
          <w:szCs w:val="18"/>
          <w:lang w:val="en-GB"/>
        </w:rPr>
      </w:pPr>
      <w:r w:rsidRPr="00461BF0">
        <w:rPr>
          <w:rFonts w:ascii="Arial" w:eastAsia="MS Mincho" w:hAnsi="Arial" w:cs="Arial"/>
          <w:b/>
          <w:color w:val="auto"/>
          <w:kern w:val="28"/>
          <w:sz w:val="18"/>
          <w:szCs w:val="18"/>
          <w:lang w:val="en-GB"/>
        </w:rPr>
        <w:t xml:space="preserve">Simon Orr, </w:t>
      </w:r>
      <w:r w:rsidR="3C23C669" w:rsidRPr="00461BF0">
        <w:rPr>
          <w:rFonts w:ascii="Arial" w:eastAsia="MS Mincho" w:hAnsi="Arial" w:cs="Arial"/>
          <w:b/>
          <w:bCs/>
          <w:color w:val="auto"/>
          <w:kern w:val="28"/>
          <w:sz w:val="18"/>
          <w:szCs w:val="18"/>
          <w:lang w:val="en-GB"/>
        </w:rPr>
        <w:t xml:space="preserve">CBRE, </w:t>
      </w:r>
      <w:r w:rsidRPr="00461BF0">
        <w:rPr>
          <w:rFonts w:ascii="Arial" w:eastAsia="MS Mincho" w:hAnsi="Arial" w:cs="Arial"/>
          <w:b/>
          <w:bCs/>
          <w:color w:val="auto"/>
          <w:kern w:val="28"/>
          <w:sz w:val="18"/>
          <w:szCs w:val="18"/>
          <w:lang w:val="en-GB"/>
        </w:rPr>
        <w:t>Director</w:t>
      </w:r>
      <w:r w:rsidRPr="00461BF0">
        <w:rPr>
          <w:rFonts w:ascii="Arial" w:eastAsia="MS Mincho" w:hAnsi="Arial" w:cs="Arial"/>
          <w:b/>
          <w:color w:val="auto"/>
          <w:kern w:val="28"/>
          <w:sz w:val="18"/>
          <w:szCs w:val="18"/>
          <w:lang w:val="en-GB"/>
        </w:rPr>
        <w:t xml:space="preserve"> in A&amp;T-Offices</w:t>
      </w:r>
      <w:r w:rsidRPr="00461BF0">
        <w:rPr>
          <w:rFonts w:ascii="Arial" w:hAnsi="Arial" w:cs="Arial"/>
          <w:sz w:val="18"/>
          <w:szCs w:val="18"/>
          <w:lang w:val="en-GB"/>
        </w:rPr>
        <w:t xml:space="preserve">, </w:t>
      </w:r>
      <w:r w:rsidR="00EB1DC9" w:rsidRPr="00461BF0">
        <w:rPr>
          <w:rFonts w:ascii="Arial" w:hAnsi="Arial" w:cs="Arial"/>
          <w:sz w:val="18"/>
          <w:szCs w:val="18"/>
          <w:lang w:val="en-GB"/>
        </w:rPr>
        <w:t>adds:</w:t>
      </w:r>
      <w:r w:rsidR="00EB1DC9" w:rsidRPr="00461BF0">
        <w:rPr>
          <w:rFonts w:ascii="Arial" w:hAnsi="Arial" w:cs="Arial"/>
          <w:i/>
          <w:iCs/>
          <w:sz w:val="18"/>
          <w:szCs w:val="18"/>
          <w:lang w:val="en-GB"/>
        </w:rPr>
        <w:t xml:space="preserve"> “High levels of construction for the pre-sold, owner-occupier market and early signs of a return of speculative development give us confidence that the medium to long-term picture for Prague offices is positive.</w:t>
      </w:r>
      <w:r w:rsidR="00D0386B" w:rsidRPr="00461BF0">
        <w:rPr>
          <w:rFonts w:ascii="Arial" w:hAnsi="Arial" w:cs="Arial"/>
          <w:i/>
          <w:iCs/>
          <w:sz w:val="18"/>
          <w:szCs w:val="18"/>
          <w:lang w:val="en-GB"/>
        </w:rPr>
        <w:t xml:space="preserve"> </w:t>
      </w:r>
      <w:r w:rsidR="00EB1DC9" w:rsidRPr="00461BF0">
        <w:rPr>
          <w:rFonts w:ascii="Arial" w:hAnsi="Arial" w:cs="Arial"/>
          <w:i/>
          <w:iCs/>
          <w:sz w:val="18"/>
          <w:szCs w:val="18"/>
          <w:lang w:val="en-GB"/>
        </w:rPr>
        <w:t>Growing rents in most suburbs, with evidence of significant gains in the best properties, suggest that the gap between rates in existing prime stock and new projects will narrow and tenants are becoming accustomed to a higher cost environment, as we see in more established markets. In the shorter-term renegotiations should continue to dominate and larger tenants will remain in a holding pattern during this lease cycle at least</w:t>
      </w:r>
      <w:r w:rsidR="00B30409" w:rsidRPr="00461BF0">
        <w:rPr>
          <w:rFonts w:ascii="Arial" w:hAnsi="Arial" w:cs="Arial"/>
          <w:i/>
          <w:iCs/>
          <w:sz w:val="18"/>
          <w:szCs w:val="18"/>
          <w:lang w:val="en-GB"/>
        </w:rPr>
        <w:t>.</w:t>
      </w:r>
      <w:r w:rsidR="00AA6065" w:rsidRPr="00461BF0">
        <w:rPr>
          <w:rFonts w:ascii="Arial" w:hAnsi="Arial" w:cs="Arial"/>
          <w:i/>
          <w:iCs/>
          <w:sz w:val="18"/>
          <w:szCs w:val="18"/>
          <w:lang w:val="en-GB"/>
        </w:rPr>
        <w:t>"</w:t>
      </w:r>
    </w:p>
    <w:p w14:paraId="29810C78" w14:textId="77777777" w:rsidR="00297AE2" w:rsidRPr="00461BF0" w:rsidRDefault="00297AE2" w:rsidP="00297AE2">
      <w:pPr>
        <w:pStyle w:val="Nadpis1"/>
      </w:pPr>
      <w:r w:rsidRPr="00461BF0">
        <w:t>Office Stock and New Supply</w:t>
      </w:r>
    </w:p>
    <w:p w14:paraId="4DF00790" w14:textId="43ACFAB7" w:rsidR="001733B2" w:rsidRPr="00461BF0" w:rsidRDefault="0086109D" w:rsidP="0086109D">
      <w:pPr>
        <w:spacing w:after="120"/>
        <w:jc w:val="both"/>
        <w:rPr>
          <w:rFonts w:ascii="Arial" w:hAnsi="Arial" w:cs="Arial"/>
          <w:sz w:val="18"/>
          <w:szCs w:val="18"/>
        </w:rPr>
      </w:pPr>
      <w:r w:rsidRPr="00461BF0">
        <w:rPr>
          <w:rFonts w:ascii="Arial" w:hAnsi="Arial" w:cs="Arial"/>
          <w:sz w:val="18"/>
          <w:szCs w:val="18"/>
        </w:rPr>
        <w:t>The total size of modern office stock in Prague reached 3.9</w:t>
      </w:r>
      <w:r w:rsidR="008101B5" w:rsidRPr="00461BF0">
        <w:rPr>
          <w:rFonts w:ascii="Arial" w:hAnsi="Arial" w:cs="Arial"/>
          <w:sz w:val="18"/>
          <w:szCs w:val="18"/>
        </w:rPr>
        <w:t>4</w:t>
      </w:r>
      <w:r w:rsidRPr="00461BF0">
        <w:rPr>
          <w:rFonts w:ascii="Arial" w:hAnsi="Arial" w:cs="Arial"/>
          <w:sz w:val="18"/>
          <w:szCs w:val="18"/>
        </w:rPr>
        <w:t xml:space="preserve"> mil. </w:t>
      </w:r>
      <w:r w:rsidR="00B60778" w:rsidRPr="00461BF0">
        <w:rPr>
          <w:rFonts w:ascii="Arial" w:hAnsi="Arial" w:cs="Arial"/>
          <w:sz w:val="18"/>
          <w:szCs w:val="18"/>
        </w:rPr>
        <w:t xml:space="preserve">sq </w:t>
      </w:r>
      <w:r w:rsidRPr="00461BF0">
        <w:rPr>
          <w:rFonts w:ascii="Arial" w:hAnsi="Arial" w:cs="Arial"/>
          <w:sz w:val="18"/>
          <w:szCs w:val="18"/>
        </w:rPr>
        <w:t xml:space="preserve">m at the end of the </w:t>
      </w:r>
      <w:r w:rsidR="00EB1DC9" w:rsidRPr="00461BF0">
        <w:rPr>
          <w:rFonts w:ascii="Arial" w:hAnsi="Arial" w:cs="Arial"/>
          <w:sz w:val="18"/>
          <w:szCs w:val="18"/>
        </w:rPr>
        <w:t>second</w:t>
      </w:r>
      <w:r w:rsidRPr="00461BF0">
        <w:rPr>
          <w:rFonts w:ascii="Arial" w:hAnsi="Arial" w:cs="Arial"/>
          <w:sz w:val="18"/>
          <w:szCs w:val="18"/>
        </w:rPr>
        <w:t xml:space="preserve"> quarter of 202</w:t>
      </w:r>
      <w:r w:rsidR="00EB1DC9" w:rsidRPr="00461BF0">
        <w:rPr>
          <w:rFonts w:ascii="Arial" w:hAnsi="Arial" w:cs="Arial"/>
          <w:sz w:val="18"/>
          <w:szCs w:val="18"/>
        </w:rPr>
        <w:t>5</w:t>
      </w:r>
      <w:r w:rsidRPr="00461BF0">
        <w:rPr>
          <w:rFonts w:ascii="Arial" w:hAnsi="Arial" w:cs="Arial"/>
          <w:sz w:val="18"/>
          <w:szCs w:val="18"/>
        </w:rPr>
        <w:t xml:space="preserve">. </w:t>
      </w:r>
      <w:r w:rsidR="001733B2" w:rsidRPr="00461BF0">
        <w:rPr>
          <w:rFonts w:ascii="Arial" w:hAnsi="Arial" w:cs="Arial"/>
          <w:sz w:val="18"/>
          <w:szCs w:val="18"/>
        </w:rPr>
        <w:t xml:space="preserve">Most of the modern office stock (74%) comprises Class A buildings, while the highest quality AAA-rated space accounts for approximately </w:t>
      </w:r>
      <w:r w:rsidR="001E620D" w:rsidRPr="00461BF0">
        <w:rPr>
          <w:rFonts w:ascii="Arial" w:hAnsi="Arial" w:cs="Arial"/>
          <w:sz w:val="18"/>
          <w:szCs w:val="18"/>
        </w:rPr>
        <w:t>19</w:t>
      </w:r>
      <w:r w:rsidR="001733B2" w:rsidRPr="00461BF0">
        <w:rPr>
          <w:rFonts w:ascii="Arial" w:hAnsi="Arial" w:cs="Arial"/>
          <w:sz w:val="18"/>
          <w:szCs w:val="18"/>
        </w:rPr>
        <w:t>%.</w:t>
      </w:r>
    </w:p>
    <w:p w14:paraId="0CDDAA37" w14:textId="372CA4FF" w:rsidR="0086109D" w:rsidRPr="00461BF0" w:rsidRDefault="00D7762F" w:rsidP="0086109D">
      <w:pPr>
        <w:spacing w:after="120"/>
        <w:jc w:val="both"/>
        <w:rPr>
          <w:rFonts w:ascii="Arial" w:hAnsi="Arial" w:cs="Arial"/>
          <w:sz w:val="18"/>
          <w:szCs w:val="18"/>
        </w:rPr>
      </w:pPr>
      <w:r w:rsidRPr="00461BF0">
        <w:rPr>
          <w:rFonts w:ascii="Arial" w:hAnsi="Arial" w:cs="Arial"/>
          <w:sz w:val="18"/>
          <w:szCs w:val="18"/>
        </w:rPr>
        <w:t xml:space="preserve">New supply in </w:t>
      </w:r>
      <w:r w:rsidR="008D455F" w:rsidRPr="00461BF0">
        <w:rPr>
          <w:rFonts w:ascii="Arial" w:hAnsi="Arial" w:cs="Arial"/>
          <w:sz w:val="18"/>
          <w:szCs w:val="18"/>
        </w:rPr>
        <w:t>Q2 2025</w:t>
      </w:r>
      <w:r w:rsidR="0093395C" w:rsidRPr="00461BF0">
        <w:rPr>
          <w:rFonts w:ascii="Arial" w:hAnsi="Arial" w:cs="Arial"/>
          <w:sz w:val="18"/>
          <w:szCs w:val="18"/>
        </w:rPr>
        <w:t xml:space="preserve"> </w:t>
      </w:r>
      <w:r w:rsidR="00FE3641" w:rsidRPr="00461BF0">
        <w:rPr>
          <w:rFonts w:ascii="Arial" w:hAnsi="Arial" w:cs="Arial"/>
          <w:sz w:val="18"/>
          <w:szCs w:val="18"/>
        </w:rPr>
        <w:t>included two</w:t>
      </w:r>
      <w:r w:rsidR="002658C0" w:rsidRPr="00461BF0">
        <w:rPr>
          <w:rFonts w:ascii="Arial" w:hAnsi="Arial" w:cs="Arial"/>
          <w:sz w:val="18"/>
          <w:szCs w:val="18"/>
        </w:rPr>
        <w:t xml:space="preserve"> newly refurbished buildings</w:t>
      </w:r>
      <w:r w:rsidR="008D455F" w:rsidRPr="00461BF0">
        <w:rPr>
          <w:rFonts w:ascii="Arial" w:hAnsi="Arial" w:cs="Arial"/>
          <w:sz w:val="18"/>
          <w:szCs w:val="18"/>
        </w:rPr>
        <w:t>:</w:t>
      </w:r>
      <w:r w:rsidR="002658C0" w:rsidRPr="00461BF0">
        <w:rPr>
          <w:rFonts w:ascii="Arial" w:hAnsi="Arial" w:cs="Arial"/>
          <w:sz w:val="18"/>
          <w:szCs w:val="18"/>
        </w:rPr>
        <w:t xml:space="preserve"> N</w:t>
      </w:r>
      <w:r w:rsidR="00FE3641" w:rsidRPr="00461BF0">
        <w:rPr>
          <w:rFonts w:ascii="Arial" w:hAnsi="Arial" w:cs="Arial"/>
          <w:sz w:val="18"/>
          <w:szCs w:val="18"/>
        </w:rPr>
        <w:t>R7 (4,500 sq m), and VN62 (2,100 sq m)</w:t>
      </w:r>
      <w:r w:rsidR="004C2EBC" w:rsidRPr="00461BF0">
        <w:rPr>
          <w:rFonts w:ascii="Arial" w:hAnsi="Arial" w:cs="Arial"/>
          <w:sz w:val="18"/>
          <w:szCs w:val="18"/>
        </w:rPr>
        <w:t>, both located</w:t>
      </w:r>
      <w:r w:rsidR="00FE3641" w:rsidRPr="00461BF0">
        <w:rPr>
          <w:rFonts w:ascii="Arial" w:hAnsi="Arial" w:cs="Arial"/>
          <w:sz w:val="18"/>
          <w:szCs w:val="18"/>
        </w:rPr>
        <w:t xml:space="preserve"> in Prague 1.</w:t>
      </w:r>
    </w:p>
    <w:p w14:paraId="603CA66F" w14:textId="77777777" w:rsidR="003A7CC0" w:rsidRPr="00461BF0" w:rsidRDefault="001733B2" w:rsidP="7E73CA55">
      <w:pPr>
        <w:spacing w:after="120"/>
        <w:jc w:val="both"/>
        <w:rPr>
          <w:rFonts w:ascii="Arial" w:hAnsi="Arial" w:cs="Arial"/>
          <w:sz w:val="18"/>
          <w:szCs w:val="18"/>
        </w:rPr>
      </w:pPr>
      <w:r w:rsidRPr="00461BF0">
        <w:rPr>
          <w:rFonts w:ascii="Arial" w:hAnsi="Arial" w:cs="Arial"/>
          <w:sz w:val="18"/>
          <w:szCs w:val="18"/>
        </w:rPr>
        <w:t>In Q2 2025, construction commenced on four office projects, three of which are located in Prague 8:</w:t>
      </w:r>
      <w:r w:rsidRPr="00461BF0">
        <w:t xml:space="preserve"> </w:t>
      </w:r>
      <w:r w:rsidR="00340382" w:rsidRPr="00461BF0">
        <w:t xml:space="preserve">the </w:t>
      </w:r>
      <w:r w:rsidR="00FE3641" w:rsidRPr="00461BF0">
        <w:rPr>
          <w:rFonts w:ascii="Arial" w:hAnsi="Arial" w:cs="Arial"/>
          <w:sz w:val="18"/>
          <w:szCs w:val="18"/>
        </w:rPr>
        <w:t xml:space="preserve">refurbishment of Danube House </w:t>
      </w:r>
      <w:r w:rsidR="00D6345F" w:rsidRPr="00461BF0">
        <w:rPr>
          <w:rFonts w:ascii="Arial" w:hAnsi="Arial" w:cs="Arial"/>
          <w:sz w:val="18"/>
          <w:szCs w:val="18"/>
        </w:rPr>
        <w:t>(</w:t>
      </w:r>
      <w:r w:rsidR="00FE3641" w:rsidRPr="00461BF0">
        <w:rPr>
          <w:rFonts w:ascii="Arial" w:hAnsi="Arial" w:cs="Arial"/>
          <w:sz w:val="18"/>
          <w:szCs w:val="18"/>
        </w:rPr>
        <w:t>19</w:t>
      </w:r>
      <w:r w:rsidR="00D6345F" w:rsidRPr="00461BF0">
        <w:rPr>
          <w:rFonts w:ascii="Arial" w:hAnsi="Arial" w:cs="Arial"/>
          <w:sz w:val="18"/>
          <w:szCs w:val="18"/>
        </w:rPr>
        <w:t>,</w:t>
      </w:r>
      <w:r w:rsidR="00FE3641" w:rsidRPr="00461BF0">
        <w:rPr>
          <w:rFonts w:ascii="Arial" w:hAnsi="Arial" w:cs="Arial"/>
          <w:sz w:val="18"/>
          <w:szCs w:val="18"/>
        </w:rPr>
        <w:t>9</w:t>
      </w:r>
      <w:r w:rsidR="00D6345F" w:rsidRPr="00461BF0">
        <w:rPr>
          <w:rFonts w:ascii="Arial" w:hAnsi="Arial" w:cs="Arial"/>
          <w:sz w:val="18"/>
          <w:szCs w:val="18"/>
        </w:rPr>
        <w:t xml:space="preserve">00 sq m), </w:t>
      </w:r>
      <w:r w:rsidR="00340382" w:rsidRPr="00461BF0">
        <w:rPr>
          <w:rFonts w:ascii="Arial" w:hAnsi="Arial" w:cs="Arial"/>
          <w:sz w:val="18"/>
          <w:szCs w:val="18"/>
        </w:rPr>
        <w:t xml:space="preserve">the </w:t>
      </w:r>
      <w:r w:rsidR="00FE3641" w:rsidRPr="00461BF0">
        <w:rPr>
          <w:rFonts w:ascii="Arial" w:hAnsi="Arial" w:cs="Arial"/>
          <w:sz w:val="18"/>
          <w:szCs w:val="18"/>
        </w:rPr>
        <w:t>new construction of Rohan City A2 for Creditas</w:t>
      </w:r>
      <w:r w:rsidR="00D6345F" w:rsidRPr="00461BF0">
        <w:rPr>
          <w:rFonts w:ascii="Arial" w:hAnsi="Arial" w:cs="Arial"/>
          <w:sz w:val="18"/>
          <w:szCs w:val="18"/>
        </w:rPr>
        <w:t xml:space="preserve"> </w:t>
      </w:r>
      <w:r w:rsidR="00A13927" w:rsidRPr="00461BF0">
        <w:rPr>
          <w:rFonts w:ascii="Arial" w:hAnsi="Arial" w:cs="Arial"/>
          <w:sz w:val="18"/>
          <w:szCs w:val="18"/>
        </w:rPr>
        <w:t xml:space="preserve">HQ </w:t>
      </w:r>
      <w:r w:rsidR="00D6345F" w:rsidRPr="00461BF0">
        <w:rPr>
          <w:rFonts w:ascii="Arial" w:hAnsi="Arial" w:cs="Arial"/>
          <w:sz w:val="18"/>
          <w:szCs w:val="18"/>
        </w:rPr>
        <w:t>(1</w:t>
      </w:r>
      <w:r w:rsidR="00FE3641" w:rsidRPr="00461BF0">
        <w:rPr>
          <w:rFonts w:ascii="Arial" w:hAnsi="Arial" w:cs="Arial"/>
          <w:sz w:val="18"/>
          <w:szCs w:val="18"/>
        </w:rPr>
        <w:t>6</w:t>
      </w:r>
      <w:r w:rsidR="00D6345F" w:rsidRPr="00461BF0">
        <w:rPr>
          <w:rFonts w:ascii="Arial" w:hAnsi="Arial" w:cs="Arial"/>
          <w:sz w:val="18"/>
          <w:szCs w:val="18"/>
        </w:rPr>
        <w:t>,</w:t>
      </w:r>
      <w:r w:rsidR="00FE3641" w:rsidRPr="00461BF0">
        <w:rPr>
          <w:rFonts w:ascii="Arial" w:hAnsi="Arial" w:cs="Arial"/>
          <w:sz w:val="18"/>
          <w:szCs w:val="18"/>
        </w:rPr>
        <w:t>8</w:t>
      </w:r>
      <w:r w:rsidR="00D6345F" w:rsidRPr="00461BF0">
        <w:rPr>
          <w:rFonts w:ascii="Arial" w:hAnsi="Arial" w:cs="Arial"/>
          <w:sz w:val="18"/>
          <w:szCs w:val="18"/>
        </w:rPr>
        <w:t>00 sq m)</w:t>
      </w:r>
      <w:r w:rsidR="00FE3641" w:rsidRPr="00461BF0">
        <w:rPr>
          <w:rFonts w:ascii="Arial" w:hAnsi="Arial" w:cs="Arial"/>
          <w:sz w:val="18"/>
          <w:szCs w:val="18"/>
        </w:rPr>
        <w:t>,</w:t>
      </w:r>
      <w:r w:rsidR="00A13927" w:rsidRPr="00461BF0">
        <w:rPr>
          <w:rFonts w:ascii="Arial" w:hAnsi="Arial" w:cs="Arial"/>
          <w:sz w:val="18"/>
          <w:szCs w:val="18"/>
        </w:rPr>
        <w:t xml:space="preserve"> and</w:t>
      </w:r>
      <w:r w:rsidR="00340382" w:rsidRPr="00461BF0">
        <w:rPr>
          <w:rFonts w:ascii="Arial" w:hAnsi="Arial" w:cs="Arial"/>
          <w:sz w:val="18"/>
          <w:szCs w:val="18"/>
        </w:rPr>
        <w:t xml:space="preserve"> the</w:t>
      </w:r>
      <w:r w:rsidR="00FE3641" w:rsidRPr="00461BF0">
        <w:rPr>
          <w:rFonts w:ascii="Arial" w:hAnsi="Arial" w:cs="Arial"/>
          <w:sz w:val="18"/>
          <w:szCs w:val="18"/>
        </w:rPr>
        <w:t xml:space="preserve"> new construction of Vydrovka (6,700 sq m)</w:t>
      </w:r>
      <w:r w:rsidR="00C52D85" w:rsidRPr="00461BF0">
        <w:rPr>
          <w:rFonts w:ascii="Arial" w:hAnsi="Arial" w:cs="Arial"/>
          <w:sz w:val="18"/>
          <w:szCs w:val="18"/>
        </w:rPr>
        <w:t xml:space="preserve">. </w:t>
      </w:r>
      <w:r w:rsidR="0016726B" w:rsidRPr="00461BF0">
        <w:rPr>
          <w:rFonts w:ascii="Arial" w:hAnsi="Arial" w:cs="Arial"/>
          <w:sz w:val="18"/>
          <w:szCs w:val="18"/>
        </w:rPr>
        <w:t>A smaller</w:t>
      </w:r>
      <w:r w:rsidR="002658C0" w:rsidRPr="00461BF0">
        <w:rPr>
          <w:rFonts w:ascii="Arial" w:hAnsi="Arial" w:cs="Arial"/>
          <w:sz w:val="18"/>
          <w:szCs w:val="18"/>
        </w:rPr>
        <w:t xml:space="preserve"> project</w:t>
      </w:r>
      <w:r w:rsidR="00AE42FB" w:rsidRPr="00461BF0">
        <w:rPr>
          <w:rFonts w:ascii="Arial" w:hAnsi="Arial" w:cs="Arial"/>
          <w:sz w:val="18"/>
          <w:szCs w:val="18"/>
        </w:rPr>
        <w:t>,</w:t>
      </w:r>
      <w:r w:rsidR="00FE3641" w:rsidRPr="00461BF0">
        <w:rPr>
          <w:rFonts w:ascii="Arial" w:hAnsi="Arial" w:cs="Arial"/>
          <w:sz w:val="18"/>
          <w:szCs w:val="18"/>
        </w:rPr>
        <w:t xml:space="preserve"> River Bridge Office Hub (2,700 sq m) </w:t>
      </w:r>
      <w:r w:rsidR="00A13927" w:rsidRPr="00461BF0">
        <w:rPr>
          <w:rFonts w:ascii="Arial" w:hAnsi="Arial" w:cs="Arial"/>
          <w:sz w:val="18"/>
          <w:szCs w:val="18"/>
        </w:rPr>
        <w:t xml:space="preserve">started construction </w:t>
      </w:r>
      <w:r w:rsidR="00FE3641" w:rsidRPr="00461BF0">
        <w:rPr>
          <w:rFonts w:ascii="Arial" w:hAnsi="Arial" w:cs="Arial"/>
          <w:sz w:val="18"/>
          <w:szCs w:val="18"/>
        </w:rPr>
        <w:t>in Prague 5</w:t>
      </w:r>
      <w:r w:rsidR="00D6345F" w:rsidRPr="00461BF0">
        <w:rPr>
          <w:rFonts w:ascii="Arial" w:hAnsi="Arial" w:cs="Arial"/>
          <w:sz w:val="18"/>
          <w:szCs w:val="18"/>
        </w:rPr>
        <w:t xml:space="preserve">. </w:t>
      </w:r>
      <w:r w:rsidRPr="00461BF0">
        <w:rPr>
          <w:rFonts w:ascii="Arial" w:hAnsi="Arial" w:cs="Arial"/>
          <w:sz w:val="18"/>
          <w:szCs w:val="18"/>
        </w:rPr>
        <w:t xml:space="preserve">Currently, 212,600 sq m of office space is under construction, with scheduled completion between 2025 and 2028, representing a quarter-on-quarter increase of </w:t>
      </w:r>
      <w:r w:rsidR="00B2588F" w:rsidRPr="00461BF0">
        <w:rPr>
          <w:rFonts w:ascii="Arial" w:hAnsi="Arial" w:cs="Arial"/>
          <w:sz w:val="18"/>
          <w:szCs w:val="18"/>
        </w:rPr>
        <w:t>23</w:t>
      </w:r>
      <w:r w:rsidRPr="00461BF0">
        <w:rPr>
          <w:rFonts w:ascii="Arial" w:hAnsi="Arial" w:cs="Arial"/>
          <w:sz w:val="18"/>
          <w:szCs w:val="18"/>
        </w:rPr>
        <w:t>%</w:t>
      </w:r>
      <w:r w:rsidR="00470FFF" w:rsidRPr="00461BF0">
        <w:rPr>
          <w:rFonts w:ascii="Arial" w:hAnsi="Arial" w:cs="Arial"/>
          <w:sz w:val="18"/>
          <w:szCs w:val="18"/>
        </w:rPr>
        <w:t xml:space="preserve">, however, only 11,300 sq m is scheduled for completion in 2025. </w:t>
      </w:r>
    </w:p>
    <w:p w14:paraId="7A53FC92" w14:textId="63DE3FA6" w:rsidR="00297AE2" w:rsidRPr="00461BF0" w:rsidRDefault="00297AE2" w:rsidP="7E73CA55">
      <w:pPr>
        <w:spacing w:after="120"/>
        <w:jc w:val="both"/>
        <w:rPr>
          <w:rFonts w:ascii="Arial" w:hAnsi="Arial"/>
          <w:b/>
          <w:kern w:val="28"/>
          <w:sz w:val="22"/>
        </w:rPr>
      </w:pPr>
      <w:r w:rsidRPr="00461BF0">
        <w:rPr>
          <w:rFonts w:ascii="Arial" w:hAnsi="Arial"/>
          <w:b/>
          <w:kern w:val="28"/>
          <w:sz w:val="22"/>
        </w:rPr>
        <w:t>Office Take-up</w:t>
      </w:r>
    </w:p>
    <w:p w14:paraId="3C9E17F3" w14:textId="40539122" w:rsidR="001733B2" w:rsidRPr="00461BF0" w:rsidRDefault="001733B2" w:rsidP="00641BA3">
      <w:pPr>
        <w:spacing w:after="120"/>
        <w:jc w:val="both"/>
        <w:rPr>
          <w:rFonts w:ascii="Arial" w:hAnsi="Arial" w:cs="Arial"/>
          <w:sz w:val="18"/>
          <w:szCs w:val="18"/>
        </w:rPr>
      </w:pPr>
      <w:r w:rsidRPr="00461BF0">
        <w:rPr>
          <w:rFonts w:ascii="Arial" w:hAnsi="Arial" w:cs="Arial"/>
          <w:sz w:val="18"/>
          <w:szCs w:val="18"/>
        </w:rPr>
        <w:t xml:space="preserve">Total gross take-up, driven by owner-occupation </w:t>
      </w:r>
      <w:r w:rsidR="47B881CF" w:rsidRPr="00461BF0">
        <w:rPr>
          <w:rFonts w:ascii="Arial" w:hAnsi="Arial" w:cs="Arial"/>
          <w:sz w:val="18"/>
          <w:szCs w:val="18"/>
        </w:rPr>
        <w:t>transactions</w:t>
      </w:r>
      <w:r w:rsidRPr="00461BF0">
        <w:rPr>
          <w:rFonts w:ascii="Arial" w:hAnsi="Arial" w:cs="Arial"/>
          <w:sz w:val="18"/>
          <w:szCs w:val="18"/>
        </w:rPr>
        <w:t xml:space="preserve">, reached 164,800 sq m in Q2 2025. This represents </w:t>
      </w:r>
      <w:r w:rsidR="00A12D59" w:rsidRPr="00461BF0">
        <w:rPr>
          <w:rFonts w:ascii="Arial" w:hAnsi="Arial" w:cs="Arial"/>
          <w:sz w:val="18"/>
          <w:szCs w:val="18"/>
        </w:rPr>
        <w:t>a quarter-on-quarter increase of 87%, and</w:t>
      </w:r>
      <w:r w:rsidR="00A01A94" w:rsidRPr="00461BF0">
        <w:rPr>
          <w:rFonts w:ascii="Arial" w:hAnsi="Arial" w:cs="Arial"/>
          <w:sz w:val="18"/>
          <w:szCs w:val="18"/>
        </w:rPr>
        <w:t xml:space="preserve"> </w:t>
      </w:r>
      <w:r w:rsidRPr="00461BF0">
        <w:rPr>
          <w:rFonts w:ascii="Arial" w:hAnsi="Arial" w:cs="Arial"/>
          <w:sz w:val="18"/>
          <w:szCs w:val="18"/>
        </w:rPr>
        <w:t>a year-on-year decrease of 24%</w:t>
      </w:r>
      <w:r w:rsidR="00353F9E" w:rsidRPr="00461BF0">
        <w:rPr>
          <w:rFonts w:ascii="Arial" w:hAnsi="Arial" w:cs="Arial"/>
          <w:sz w:val="18"/>
          <w:szCs w:val="18"/>
        </w:rPr>
        <w:t xml:space="preserve">. </w:t>
      </w:r>
      <w:r w:rsidR="000114DC" w:rsidRPr="00461BF0">
        <w:rPr>
          <w:rFonts w:ascii="Arial" w:hAnsi="Arial" w:cs="Arial"/>
          <w:sz w:val="18"/>
          <w:szCs w:val="18"/>
        </w:rPr>
        <w:t xml:space="preserve">Total volume </w:t>
      </w:r>
      <w:r w:rsidR="00DD36B2" w:rsidRPr="00461BF0">
        <w:rPr>
          <w:rFonts w:ascii="Arial" w:hAnsi="Arial" w:cs="Arial"/>
          <w:sz w:val="18"/>
          <w:szCs w:val="18"/>
        </w:rPr>
        <w:t>in Q2 2024 was</w:t>
      </w:r>
      <w:r w:rsidR="00531D49" w:rsidRPr="00461BF0">
        <w:rPr>
          <w:rFonts w:ascii="Arial" w:hAnsi="Arial" w:cs="Arial"/>
          <w:sz w:val="18"/>
          <w:szCs w:val="18"/>
        </w:rPr>
        <w:t>,</w:t>
      </w:r>
      <w:r w:rsidR="00DD36B2" w:rsidRPr="00461BF0">
        <w:rPr>
          <w:rFonts w:ascii="Arial" w:hAnsi="Arial" w:cs="Arial"/>
          <w:sz w:val="18"/>
          <w:szCs w:val="18"/>
        </w:rPr>
        <w:t xml:space="preserve"> however</w:t>
      </w:r>
      <w:r w:rsidR="738C5028" w:rsidRPr="00461BF0">
        <w:rPr>
          <w:rFonts w:ascii="Arial" w:hAnsi="Arial" w:cs="Arial"/>
          <w:sz w:val="18"/>
          <w:szCs w:val="18"/>
        </w:rPr>
        <w:t>,</w:t>
      </w:r>
      <w:r w:rsidR="00DD36B2" w:rsidRPr="00461BF0">
        <w:rPr>
          <w:rFonts w:ascii="Arial" w:hAnsi="Arial" w:cs="Arial"/>
          <w:sz w:val="18"/>
          <w:szCs w:val="18"/>
        </w:rPr>
        <w:t xml:space="preserve"> boosted by</w:t>
      </w:r>
      <w:r w:rsidR="00EB321D" w:rsidRPr="00461BF0">
        <w:rPr>
          <w:rFonts w:ascii="Arial" w:hAnsi="Arial" w:cs="Arial"/>
          <w:sz w:val="18"/>
          <w:szCs w:val="18"/>
        </w:rPr>
        <w:t xml:space="preserve"> a single </w:t>
      </w:r>
      <w:r w:rsidR="00DA6AF2" w:rsidRPr="00461BF0">
        <w:rPr>
          <w:rFonts w:ascii="Arial" w:hAnsi="Arial" w:cs="Arial"/>
          <w:sz w:val="18"/>
          <w:szCs w:val="18"/>
        </w:rPr>
        <w:t xml:space="preserve">large transaction of </w:t>
      </w:r>
      <w:r w:rsidR="00765F75" w:rsidRPr="00461BF0">
        <w:rPr>
          <w:rFonts w:ascii="Arial" w:hAnsi="Arial" w:cs="Arial"/>
          <w:sz w:val="18"/>
          <w:szCs w:val="18"/>
        </w:rPr>
        <w:t>75</w:t>
      </w:r>
      <w:r w:rsidR="4F093811" w:rsidRPr="00461BF0">
        <w:rPr>
          <w:rFonts w:ascii="Arial" w:hAnsi="Arial" w:cs="Arial"/>
          <w:sz w:val="18"/>
          <w:szCs w:val="18"/>
        </w:rPr>
        <w:t>,000</w:t>
      </w:r>
      <w:r w:rsidR="00765F75" w:rsidRPr="00461BF0">
        <w:rPr>
          <w:rFonts w:ascii="Arial" w:hAnsi="Arial" w:cs="Arial"/>
          <w:sz w:val="18"/>
          <w:szCs w:val="18"/>
        </w:rPr>
        <w:t xml:space="preserve"> </w:t>
      </w:r>
      <w:r w:rsidR="00FF3987" w:rsidRPr="00461BF0">
        <w:rPr>
          <w:rFonts w:ascii="Arial" w:hAnsi="Arial" w:cs="Arial"/>
          <w:sz w:val="18"/>
          <w:szCs w:val="18"/>
        </w:rPr>
        <w:t>sq m</w:t>
      </w:r>
      <w:r w:rsidR="003F7272" w:rsidRPr="00461BF0">
        <w:rPr>
          <w:rFonts w:ascii="Arial" w:hAnsi="Arial" w:cs="Arial"/>
          <w:sz w:val="18"/>
          <w:szCs w:val="18"/>
        </w:rPr>
        <w:t>.</w:t>
      </w:r>
      <w:r w:rsidR="03215F66" w:rsidRPr="00461BF0">
        <w:rPr>
          <w:rFonts w:ascii="Arial" w:hAnsi="Arial" w:cs="Arial"/>
          <w:sz w:val="18"/>
          <w:szCs w:val="18"/>
        </w:rPr>
        <w:t xml:space="preserve"> </w:t>
      </w:r>
      <w:r w:rsidR="00FF3987" w:rsidRPr="00461BF0">
        <w:rPr>
          <w:rFonts w:ascii="Arial" w:hAnsi="Arial" w:cs="Arial"/>
          <w:sz w:val="18"/>
          <w:szCs w:val="18"/>
        </w:rPr>
        <w:t xml:space="preserve">O2 2025 is </w:t>
      </w:r>
      <w:r w:rsidRPr="00461BF0">
        <w:rPr>
          <w:rFonts w:ascii="Arial" w:hAnsi="Arial" w:cs="Arial"/>
          <w:sz w:val="18"/>
          <w:szCs w:val="18"/>
        </w:rPr>
        <w:t>still marking one of the strongest quarterly demands for offices recorded in Prague.</w:t>
      </w:r>
    </w:p>
    <w:p w14:paraId="54FEEF62" w14:textId="44CBFF49" w:rsidR="001A111F" w:rsidRPr="00461BF0" w:rsidRDefault="009609DA" w:rsidP="00641BA3">
      <w:pPr>
        <w:spacing w:after="120"/>
        <w:jc w:val="both"/>
        <w:rPr>
          <w:rFonts w:ascii="Arial" w:hAnsi="Arial" w:cs="Arial"/>
          <w:sz w:val="18"/>
          <w:szCs w:val="18"/>
        </w:rPr>
      </w:pPr>
      <w:r w:rsidRPr="00461BF0">
        <w:rPr>
          <w:rFonts w:ascii="Arial" w:hAnsi="Arial" w:cs="Arial"/>
          <w:sz w:val="18"/>
          <w:szCs w:val="18"/>
        </w:rPr>
        <w:t>Preleases were driven solely by o</w:t>
      </w:r>
      <w:r w:rsidR="00CD1F4C" w:rsidRPr="00461BF0">
        <w:rPr>
          <w:rFonts w:ascii="Arial" w:hAnsi="Arial" w:cs="Arial"/>
          <w:sz w:val="18"/>
          <w:szCs w:val="18"/>
        </w:rPr>
        <w:t>wner occupation deals</w:t>
      </w:r>
      <w:r w:rsidRPr="00461BF0">
        <w:rPr>
          <w:rFonts w:ascii="Arial" w:hAnsi="Arial" w:cs="Arial"/>
          <w:sz w:val="18"/>
          <w:szCs w:val="18"/>
        </w:rPr>
        <w:t xml:space="preserve">. </w:t>
      </w:r>
      <w:r w:rsidR="00300F91" w:rsidRPr="00461BF0">
        <w:rPr>
          <w:rFonts w:ascii="Arial" w:hAnsi="Arial" w:cs="Arial"/>
          <w:sz w:val="18"/>
          <w:szCs w:val="18"/>
        </w:rPr>
        <w:t>Ex</w:t>
      </w:r>
      <w:r w:rsidR="00291586" w:rsidRPr="00461BF0">
        <w:rPr>
          <w:rFonts w:ascii="Arial" w:hAnsi="Arial" w:cs="Arial"/>
          <w:sz w:val="18"/>
          <w:szCs w:val="18"/>
        </w:rPr>
        <w:t xml:space="preserve">cluding owner occupation deals, </w:t>
      </w:r>
      <w:r w:rsidR="00023F55" w:rsidRPr="00461BF0">
        <w:rPr>
          <w:rFonts w:ascii="Arial" w:hAnsi="Arial" w:cs="Arial"/>
          <w:sz w:val="18"/>
          <w:szCs w:val="18"/>
        </w:rPr>
        <w:t>market was still drive</w:t>
      </w:r>
      <w:r w:rsidR="00534B01" w:rsidRPr="00461BF0">
        <w:rPr>
          <w:rFonts w:ascii="Arial" w:hAnsi="Arial" w:cs="Arial"/>
          <w:sz w:val="18"/>
          <w:szCs w:val="18"/>
        </w:rPr>
        <w:t>n</w:t>
      </w:r>
      <w:r w:rsidR="00023F55" w:rsidRPr="00461BF0">
        <w:rPr>
          <w:rFonts w:ascii="Arial" w:hAnsi="Arial" w:cs="Arial"/>
          <w:sz w:val="18"/>
          <w:szCs w:val="18"/>
        </w:rPr>
        <w:t xml:space="preserve"> by </w:t>
      </w:r>
      <w:r w:rsidR="00EF238E" w:rsidRPr="00461BF0">
        <w:rPr>
          <w:rFonts w:ascii="Arial" w:hAnsi="Arial" w:cs="Arial"/>
          <w:sz w:val="18"/>
          <w:szCs w:val="18"/>
        </w:rPr>
        <w:t>renegotiations account</w:t>
      </w:r>
      <w:r w:rsidR="00023F55" w:rsidRPr="00461BF0">
        <w:rPr>
          <w:rFonts w:ascii="Arial" w:hAnsi="Arial" w:cs="Arial"/>
          <w:sz w:val="18"/>
          <w:szCs w:val="18"/>
        </w:rPr>
        <w:t>ing</w:t>
      </w:r>
      <w:r w:rsidR="00EF238E" w:rsidRPr="00461BF0">
        <w:rPr>
          <w:rFonts w:ascii="Arial" w:hAnsi="Arial" w:cs="Arial"/>
          <w:sz w:val="18"/>
          <w:szCs w:val="18"/>
        </w:rPr>
        <w:t xml:space="preserve"> for </w:t>
      </w:r>
      <w:r w:rsidR="008862AB" w:rsidRPr="00461BF0">
        <w:rPr>
          <w:rFonts w:ascii="Arial" w:hAnsi="Arial" w:cs="Arial"/>
          <w:sz w:val="18"/>
          <w:szCs w:val="18"/>
        </w:rPr>
        <w:t>5</w:t>
      </w:r>
      <w:r w:rsidR="00E85B66" w:rsidRPr="00461BF0">
        <w:rPr>
          <w:rFonts w:ascii="Arial" w:hAnsi="Arial" w:cs="Arial"/>
          <w:sz w:val="18"/>
          <w:szCs w:val="18"/>
        </w:rPr>
        <w:t>2</w:t>
      </w:r>
      <w:r w:rsidR="00EF238E" w:rsidRPr="00461BF0">
        <w:rPr>
          <w:rFonts w:ascii="Arial" w:hAnsi="Arial" w:cs="Arial"/>
          <w:sz w:val="18"/>
          <w:szCs w:val="18"/>
        </w:rPr>
        <w:t>%</w:t>
      </w:r>
      <w:r w:rsidR="00721E41" w:rsidRPr="00461BF0">
        <w:rPr>
          <w:rFonts w:ascii="Arial" w:hAnsi="Arial" w:cs="Arial"/>
          <w:sz w:val="18"/>
          <w:szCs w:val="18"/>
        </w:rPr>
        <w:t xml:space="preserve"> of the remaining gross </w:t>
      </w:r>
      <w:r w:rsidR="0048080A" w:rsidRPr="00461BF0">
        <w:rPr>
          <w:rFonts w:ascii="Arial" w:hAnsi="Arial" w:cs="Arial"/>
          <w:sz w:val="18"/>
          <w:szCs w:val="18"/>
        </w:rPr>
        <w:t xml:space="preserve">demand. New leases and expansions </w:t>
      </w:r>
      <w:r w:rsidR="0041239B" w:rsidRPr="00461BF0">
        <w:rPr>
          <w:rFonts w:ascii="Arial" w:hAnsi="Arial" w:cs="Arial"/>
          <w:sz w:val="18"/>
          <w:szCs w:val="18"/>
        </w:rPr>
        <w:t>accounted for 47%,</w:t>
      </w:r>
      <w:r w:rsidR="000402DB" w:rsidRPr="00461BF0">
        <w:rPr>
          <w:rFonts w:ascii="Arial" w:hAnsi="Arial" w:cs="Arial"/>
          <w:sz w:val="18"/>
          <w:szCs w:val="18"/>
        </w:rPr>
        <w:t xml:space="preserve"> while </w:t>
      </w:r>
      <w:r w:rsidR="00945443" w:rsidRPr="00461BF0">
        <w:rPr>
          <w:rFonts w:ascii="Arial" w:hAnsi="Arial" w:cs="Arial"/>
          <w:sz w:val="18"/>
          <w:szCs w:val="18"/>
        </w:rPr>
        <w:t>subleases</w:t>
      </w:r>
      <w:r w:rsidR="000D3A0A" w:rsidRPr="00461BF0">
        <w:rPr>
          <w:rFonts w:ascii="Arial" w:hAnsi="Arial" w:cs="Arial"/>
          <w:sz w:val="18"/>
          <w:szCs w:val="18"/>
        </w:rPr>
        <w:t xml:space="preserve"> </w:t>
      </w:r>
      <w:r w:rsidR="00945443" w:rsidRPr="00461BF0">
        <w:rPr>
          <w:rFonts w:ascii="Arial" w:hAnsi="Arial" w:cs="Arial"/>
          <w:sz w:val="18"/>
          <w:szCs w:val="18"/>
        </w:rPr>
        <w:t>contributed</w:t>
      </w:r>
      <w:r w:rsidR="00D11E23" w:rsidRPr="00461BF0">
        <w:rPr>
          <w:rFonts w:ascii="Arial" w:hAnsi="Arial" w:cs="Arial"/>
          <w:sz w:val="18"/>
          <w:szCs w:val="18"/>
        </w:rPr>
        <w:t xml:space="preserve"> only </w:t>
      </w:r>
      <w:r w:rsidR="003264D1" w:rsidRPr="00461BF0">
        <w:rPr>
          <w:rFonts w:ascii="Arial" w:hAnsi="Arial" w:cs="Arial"/>
          <w:sz w:val="18"/>
          <w:szCs w:val="18"/>
        </w:rPr>
        <w:t>1</w:t>
      </w:r>
      <w:r w:rsidR="4257C909" w:rsidRPr="00461BF0">
        <w:rPr>
          <w:rFonts w:ascii="Arial" w:hAnsi="Arial" w:cs="Arial"/>
          <w:sz w:val="18"/>
          <w:szCs w:val="18"/>
        </w:rPr>
        <w:t>%.</w:t>
      </w:r>
    </w:p>
    <w:p w14:paraId="51EE89A9" w14:textId="489BEC74" w:rsidR="001733B2" w:rsidRPr="00461BF0" w:rsidRDefault="001733B2" w:rsidP="00297AE2">
      <w:pPr>
        <w:spacing w:after="120"/>
        <w:jc w:val="both"/>
        <w:rPr>
          <w:rFonts w:ascii="Arial" w:hAnsi="Arial" w:cs="Arial"/>
          <w:sz w:val="18"/>
          <w:szCs w:val="18"/>
        </w:rPr>
      </w:pPr>
      <w:r w:rsidRPr="00461BF0">
        <w:rPr>
          <w:rFonts w:ascii="Arial" w:hAnsi="Arial" w:cs="Arial"/>
          <w:sz w:val="18"/>
          <w:szCs w:val="18"/>
        </w:rPr>
        <w:lastRenderedPageBreak/>
        <w:t>Net take-up amounted to 110,300 sq m, of which owner-occupation deals accounted for 5</w:t>
      </w:r>
      <w:r w:rsidR="00E85B66" w:rsidRPr="00461BF0">
        <w:rPr>
          <w:rFonts w:ascii="Arial" w:hAnsi="Arial" w:cs="Arial"/>
          <w:sz w:val="18"/>
          <w:szCs w:val="18"/>
        </w:rPr>
        <w:t>6</w:t>
      </w:r>
      <w:r w:rsidRPr="00461BF0">
        <w:rPr>
          <w:rFonts w:ascii="Arial" w:hAnsi="Arial" w:cs="Arial"/>
          <w:sz w:val="18"/>
          <w:szCs w:val="18"/>
        </w:rPr>
        <w:t>%</w:t>
      </w:r>
      <w:r w:rsidR="17332DC9" w:rsidRPr="00461BF0">
        <w:rPr>
          <w:rFonts w:ascii="Arial" w:hAnsi="Arial" w:cs="Arial"/>
          <w:sz w:val="18"/>
          <w:szCs w:val="18"/>
        </w:rPr>
        <w:t>.</w:t>
      </w:r>
    </w:p>
    <w:p w14:paraId="357AF164" w14:textId="6116FBDE" w:rsidR="00297AE2" w:rsidRPr="00461BF0" w:rsidRDefault="00297AE2" w:rsidP="00297AE2">
      <w:pPr>
        <w:spacing w:after="120"/>
        <w:jc w:val="both"/>
        <w:rPr>
          <w:rFonts w:ascii="Arial" w:hAnsi="Arial" w:cs="Arial"/>
          <w:sz w:val="18"/>
          <w:szCs w:val="18"/>
        </w:rPr>
      </w:pPr>
      <w:r w:rsidRPr="00461BF0">
        <w:rPr>
          <w:rFonts w:ascii="Arial" w:hAnsi="Arial" w:cs="Arial"/>
          <w:sz w:val="18"/>
          <w:szCs w:val="18"/>
        </w:rPr>
        <w:t>The highest gross take-up in the</w:t>
      </w:r>
      <w:r w:rsidR="00535E0F" w:rsidRPr="00461BF0">
        <w:rPr>
          <w:rFonts w:ascii="Arial" w:hAnsi="Arial" w:cs="Arial"/>
          <w:sz w:val="18"/>
          <w:szCs w:val="18"/>
        </w:rPr>
        <w:t xml:space="preserve"> </w:t>
      </w:r>
      <w:r w:rsidR="00C575AD" w:rsidRPr="00461BF0">
        <w:rPr>
          <w:rFonts w:ascii="Arial" w:hAnsi="Arial" w:cs="Arial"/>
          <w:sz w:val="18"/>
          <w:szCs w:val="18"/>
        </w:rPr>
        <w:t>second</w:t>
      </w:r>
      <w:r w:rsidR="00C35175" w:rsidRPr="00461BF0">
        <w:rPr>
          <w:rFonts w:ascii="Arial" w:hAnsi="Arial" w:cs="Arial"/>
          <w:sz w:val="18"/>
          <w:szCs w:val="18"/>
        </w:rPr>
        <w:t xml:space="preserve"> </w:t>
      </w:r>
      <w:r w:rsidRPr="00461BF0">
        <w:rPr>
          <w:rFonts w:ascii="Arial" w:hAnsi="Arial" w:cs="Arial"/>
          <w:sz w:val="18"/>
          <w:szCs w:val="18"/>
        </w:rPr>
        <w:t xml:space="preserve">quarter was recorded in Prague </w:t>
      </w:r>
      <w:r w:rsidR="00847FCF" w:rsidRPr="00461BF0">
        <w:rPr>
          <w:rFonts w:ascii="Arial" w:hAnsi="Arial" w:cs="Arial"/>
          <w:sz w:val="18"/>
          <w:szCs w:val="18"/>
        </w:rPr>
        <w:t>5</w:t>
      </w:r>
      <w:r w:rsidRPr="00461BF0">
        <w:rPr>
          <w:rFonts w:ascii="Arial" w:hAnsi="Arial" w:cs="Arial"/>
          <w:sz w:val="18"/>
          <w:szCs w:val="18"/>
        </w:rPr>
        <w:t xml:space="preserve"> (</w:t>
      </w:r>
      <w:r w:rsidR="003264D1" w:rsidRPr="00461BF0">
        <w:rPr>
          <w:rFonts w:ascii="Arial" w:hAnsi="Arial" w:cs="Arial"/>
          <w:sz w:val="18"/>
          <w:szCs w:val="18"/>
        </w:rPr>
        <w:t>39</w:t>
      </w:r>
      <w:r w:rsidR="00652E52" w:rsidRPr="00461BF0">
        <w:rPr>
          <w:rFonts w:ascii="Arial" w:hAnsi="Arial" w:cs="Arial"/>
          <w:sz w:val="18"/>
          <w:szCs w:val="18"/>
        </w:rPr>
        <w:t>%</w:t>
      </w:r>
      <w:r w:rsidRPr="00461BF0">
        <w:rPr>
          <w:rFonts w:ascii="Arial" w:hAnsi="Arial" w:cs="Arial"/>
          <w:sz w:val="18"/>
          <w:szCs w:val="18"/>
        </w:rPr>
        <w:t xml:space="preserve">), followed by Prague </w:t>
      </w:r>
      <w:r w:rsidR="003264D1" w:rsidRPr="00461BF0">
        <w:rPr>
          <w:rFonts w:ascii="Arial" w:hAnsi="Arial" w:cs="Arial"/>
          <w:sz w:val="18"/>
          <w:szCs w:val="18"/>
        </w:rPr>
        <w:t>8</w:t>
      </w:r>
      <w:r w:rsidRPr="00461BF0">
        <w:rPr>
          <w:rFonts w:ascii="Arial" w:hAnsi="Arial" w:cs="Arial"/>
          <w:sz w:val="18"/>
          <w:szCs w:val="18"/>
        </w:rPr>
        <w:t xml:space="preserve"> (</w:t>
      </w:r>
      <w:r w:rsidR="003264D1" w:rsidRPr="00461BF0">
        <w:rPr>
          <w:rFonts w:ascii="Arial" w:hAnsi="Arial" w:cs="Arial"/>
          <w:sz w:val="18"/>
          <w:szCs w:val="18"/>
        </w:rPr>
        <w:t>26</w:t>
      </w:r>
      <w:r w:rsidRPr="00461BF0">
        <w:rPr>
          <w:rFonts w:ascii="Arial" w:hAnsi="Arial" w:cs="Arial"/>
          <w:sz w:val="18"/>
          <w:szCs w:val="18"/>
        </w:rPr>
        <w:t xml:space="preserve">%) and Prague </w:t>
      </w:r>
      <w:r w:rsidR="003264D1" w:rsidRPr="00461BF0">
        <w:rPr>
          <w:rFonts w:ascii="Arial" w:hAnsi="Arial" w:cs="Arial"/>
          <w:sz w:val="18"/>
          <w:szCs w:val="18"/>
        </w:rPr>
        <w:t>4</w:t>
      </w:r>
      <w:r w:rsidRPr="00461BF0">
        <w:rPr>
          <w:rFonts w:ascii="Arial" w:hAnsi="Arial" w:cs="Arial"/>
          <w:sz w:val="18"/>
          <w:szCs w:val="18"/>
        </w:rPr>
        <w:t xml:space="preserve"> (1</w:t>
      </w:r>
      <w:r w:rsidR="003264D1" w:rsidRPr="00461BF0">
        <w:rPr>
          <w:rFonts w:ascii="Arial" w:hAnsi="Arial" w:cs="Arial"/>
          <w:sz w:val="18"/>
          <w:szCs w:val="18"/>
        </w:rPr>
        <w:t>1</w:t>
      </w:r>
      <w:r w:rsidRPr="00461BF0">
        <w:rPr>
          <w:rFonts w:ascii="Arial" w:hAnsi="Arial" w:cs="Arial"/>
          <w:sz w:val="18"/>
          <w:szCs w:val="18"/>
        </w:rPr>
        <w:t xml:space="preserve">%). </w:t>
      </w:r>
      <w:r w:rsidR="00847FCF" w:rsidRPr="00461BF0">
        <w:rPr>
          <w:rFonts w:ascii="Arial" w:hAnsi="Arial" w:cs="Arial"/>
          <w:sz w:val="18"/>
          <w:szCs w:val="18"/>
        </w:rPr>
        <w:t xml:space="preserve">The </w:t>
      </w:r>
      <w:r w:rsidR="003264D1" w:rsidRPr="00461BF0">
        <w:rPr>
          <w:rFonts w:ascii="Arial" w:hAnsi="Arial" w:cs="Arial"/>
          <w:sz w:val="18"/>
          <w:szCs w:val="18"/>
        </w:rPr>
        <w:t>energy &amp; extractives</w:t>
      </w:r>
      <w:r w:rsidR="00847FCF" w:rsidRPr="00461BF0">
        <w:rPr>
          <w:rFonts w:ascii="Arial" w:hAnsi="Arial" w:cs="Arial"/>
          <w:sz w:val="18"/>
          <w:szCs w:val="18"/>
        </w:rPr>
        <w:t xml:space="preserve"> sector was</w:t>
      </w:r>
      <w:r w:rsidR="004E59B1" w:rsidRPr="00461BF0">
        <w:rPr>
          <w:rFonts w:ascii="Arial" w:hAnsi="Arial" w:cs="Arial"/>
          <w:sz w:val="18"/>
          <w:szCs w:val="18"/>
        </w:rPr>
        <w:t xml:space="preserve"> the main driver of demand</w:t>
      </w:r>
      <w:r w:rsidR="00847FCF" w:rsidRPr="00461BF0">
        <w:rPr>
          <w:rFonts w:ascii="Arial" w:hAnsi="Arial" w:cs="Arial"/>
          <w:sz w:val="18"/>
          <w:szCs w:val="18"/>
        </w:rPr>
        <w:t xml:space="preserve">, accounting for </w:t>
      </w:r>
      <w:r w:rsidR="003264D1" w:rsidRPr="00461BF0">
        <w:rPr>
          <w:rFonts w:ascii="Arial" w:hAnsi="Arial" w:cs="Arial"/>
          <w:sz w:val="18"/>
          <w:szCs w:val="18"/>
        </w:rPr>
        <w:t>27</w:t>
      </w:r>
      <w:r w:rsidR="00847FCF" w:rsidRPr="00461BF0">
        <w:rPr>
          <w:rFonts w:ascii="Arial" w:hAnsi="Arial" w:cs="Arial"/>
          <w:sz w:val="18"/>
          <w:szCs w:val="18"/>
        </w:rPr>
        <w:t xml:space="preserve">% of the gross take-up, </w:t>
      </w:r>
      <w:r w:rsidR="00C3345F" w:rsidRPr="00461BF0">
        <w:rPr>
          <w:rFonts w:ascii="Arial" w:hAnsi="Arial" w:cs="Arial"/>
          <w:sz w:val="18"/>
          <w:szCs w:val="18"/>
        </w:rPr>
        <w:t xml:space="preserve">and </w:t>
      </w:r>
      <w:r w:rsidR="00CA7421" w:rsidRPr="00461BF0">
        <w:rPr>
          <w:rFonts w:ascii="Arial" w:hAnsi="Arial" w:cs="Arial"/>
          <w:sz w:val="18"/>
          <w:szCs w:val="18"/>
        </w:rPr>
        <w:t xml:space="preserve">the </w:t>
      </w:r>
      <w:r w:rsidR="003264D1" w:rsidRPr="00461BF0">
        <w:rPr>
          <w:rFonts w:ascii="Arial" w:hAnsi="Arial" w:cs="Arial"/>
          <w:sz w:val="18"/>
          <w:szCs w:val="18"/>
        </w:rPr>
        <w:t>finance sector</w:t>
      </w:r>
      <w:r w:rsidR="00847FCF" w:rsidRPr="00461BF0">
        <w:rPr>
          <w:rFonts w:ascii="Arial" w:hAnsi="Arial" w:cs="Arial"/>
          <w:sz w:val="18"/>
          <w:szCs w:val="18"/>
        </w:rPr>
        <w:t xml:space="preserve"> </w:t>
      </w:r>
      <w:r w:rsidR="0523F4D7" w:rsidRPr="00461BF0">
        <w:rPr>
          <w:rFonts w:ascii="Arial" w:hAnsi="Arial" w:cs="Arial"/>
          <w:sz w:val="18"/>
          <w:szCs w:val="18"/>
        </w:rPr>
        <w:t xml:space="preserve">followed </w:t>
      </w:r>
      <w:r w:rsidR="00847FCF" w:rsidRPr="00461BF0">
        <w:rPr>
          <w:rFonts w:ascii="Arial" w:hAnsi="Arial" w:cs="Arial"/>
          <w:sz w:val="18"/>
          <w:szCs w:val="18"/>
        </w:rPr>
        <w:t>with a 1</w:t>
      </w:r>
      <w:r w:rsidR="003264D1" w:rsidRPr="00461BF0">
        <w:rPr>
          <w:rFonts w:ascii="Arial" w:hAnsi="Arial" w:cs="Arial"/>
          <w:sz w:val="18"/>
          <w:szCs w:val="18"/>
        </w:rPr>
        <w:t>9</w:t>
      </w:r>
      <w:r w:rsidR="00847FCF" w:rsidRPr="00461BF0">
        <w:rPr>
          <w:rFonts w:ascii="Arial" w:hAnsi="Arial" w:cs="Arial"/>
          <w:sz w:val="18"/>
          <w:szCs w:val="18"/>
        </w:rPr>
        <w:t>% share</w:t>
      </w:r>
      <w:r w:rsidRPr="00461BF0">
        <w:rPr>
          <w:rFonts w:ascii="Arial" w:hAnsi="Arial" w:cs="Arial"/>
          <w:sz w:val="18"/>
          <w:szCs w:val="18"/>
        </w:rPr>
        <w:t>.</w:t>
      </w:r>
    </w:p>
    <w:p w14:paraId="261AB4CA" w14:textId="641ACD19" w:rsidR="00297AE2" w:rsidRPr="00461BF0" w:rsidRDefault="00546105" w:rsidP="00297AE2">
      <w:pPr>
        <w:pStyle w:val="Nadpis1"/>
        <w:tabs>
          <w:tab w:val="left" w:pos="8445"/>
        </w:tabs>
      </w:pPr>
      <w:r w:rsidRPr="00461BF0">
        <w:t>M</w:t>
      </w:r>
      <w:r w:rsidR="00297AE2" w:rsidRPr="00461BF0">
        <w:t>ajor Office Leasing Transactions</w:t>
      </w:r>
    </w:p>
    <w:p w14:paraId="6D7F31B4" w14:textId="41EEF072" w:rsidR="00780BC2" w:rsidRPr="00461BF0" w:rsidRDefault="00EE1526" w:rsidP="13405A99">
      <w:pPr>
        <w:spacing w:after="120"/>
        <w:jc w:val="both"/>
        <w:rPr>
          <w:rFonts w:ascii="Arial" w:hAnsi="Arial" w:cs="Arial"/>
          <w:sz w:val="18"/>
          <w:szCs w:val="18"/>
        </w:rPr>
      </w:pPr>
      <w:r w:rsidRPr="00461BF0">
        <w:rPr>
          <w:rFonts w:ascii="Arial" w:hAnsi="Arial" w:cs="Arial"/>
          <w:sz w:val="18"/>
          <w:szCs w:val="18"/>
        </w:rPr>
        <w:t xml:space="preserve">The </w:t>
      </w:r>
      <w:r w:rsidR="001559D7" w:rsidRPr="00461BF0">
        <w:rPr>
          <w:rFonts w:ascii="Arial" w:hAnsi="Arial" w:cs="Arial"/>
          <w:sz w:val="18"/>
          <w:szCs w:val="18"/>
        </w:rPr>
        <w:t>biggest</w:t>
      </w:r>
      <w:r w:rsidRPr="00461BF0">
        <w:rPr>
          <w:rFonts w:ascii="Arial" w:hAnsi="Arial" w:cs="Arial"/>
          <w:sz w:val="18"/>
          <w:szCs w:val="18"/>
        </w:rPr>
        <w:t xml:space="preserve"> transaction </w:t>
      </w:r>
      <w:r w:rsidR="004E70C4" w:rsidRPr="00461BF0">
        <w:rPr>
          <w:rFonts w:ascii="Arial" w:hAnsi="Arial" w:cs="Arial"/>
          <w:sz w:val="18"/>
          <w:szCs w:val="18"/>
        </w:rPr>
        <w:t xml:space="preserve">of the second quarter </w:t>
      </w:r>
      <w:r w:rsidR="00C63672" w:rsidRPr="00461BF0">
        <w:rPr>
          <w:rFonts w:ascii="Arial" w:hAnsi="Arial" w:cs="Arial"/>
          <w:sz w:val="18"/>
          <w:szCs w:val="18"/>
        </w:rPr>
        <w:t xml:space="preserve">of </w:t>
      </w:r>
      <w:r w:rsidR="004F7965" w:rsidRPr="00461BF0">
        <w:rPr>
          <w:rFonts w:ascii="Arial" w:hAnsi="Arial" w:cs="Arial"/>
          <w:sz w:val="18"/>
          <w:szCs w:val="18"/>
        </w:rPr>
        <w:t>202</w:t>
      </w:r>
      <w:r w:rsidR="00C722CE" w:rsidRPr="00461BF0">
        <w:rPr>
          <w:rFonts w:ascii="Arial" w:hAnsi="Arial" w:cs="Arial"/>
          <w:sz w:val="18"/>
          <w:szCs w:val="18"/>
        </w:rPr>
        <w:t>5</w:t>
      </w:r>
      <w:r w:rsidR="004F7965" w:rsidRPr="00461BF0">
        <w:rPr>
          <w:rFonts w:ascii="Arial" w:hAnsi="Arial" w:cs="Arial"/>
          <w:sz w:val="18"/>
          <w:szCs w:val="18"/>
        </w:rPr>
        <w:t xml:space="preserve"> </w:t>
      </w:r>
      <w:r w:rsidR="004E70C4" w:rsidRPr="00461BF0">
        <w:rPr>
          <w:rFonts w:ascii="Arial" w:hAnsi="Arial" w:cs="Arial"/>
          <w:sz w:val="18"/>
          <w:szCs w:val="18"/>
        </w:rPr>
        <w:t>was</w:t>
      </w:r>
      <w:r w:rsidR="00356839" w:rsidRPr="00461BF0">
        <w:rPr>
          <w:rFonts w:ascii="Arial" w:hAnsi="Arial" w:cs="Arial"/>
          <w:sz w:val="18"/>
          <w:szCs w:val="18"/>
        </w:rPr>
        <w:t xml:space="preserve"> Č</w:t>
      </w:r>
      <w:r w:rsidR="00A132E0" w:rsidRPr="00461BF0">
        <w:rPr>
          <w:rFonts w:ascii="Arial" w:hAnsi="Arial" w:cs="Arial"/>
          <w:sz w:val="18"/>
          <w:szCs w:val="18"/>
        </w:rPr>
        <w:t>EZ</w:t>
      </w:r>
      <w:r w:rsidR="00CA7421" w:rsidRPr="00461BF0">
        <w:rPr>
          <w:rFonts w:ascii="Arial" w:hAnsi="Arial" w:cs="Arial"/>
          <w:sz w:val="18"/>
          <w:szCs w:val="18"/>
        </w:rPr>
        <w:t>’s</w:t>
      </w:r>
      <w:r w:rsidR="00845FBE" w:rsidRPr="00461BF0">
        <w:rPr>
          <w:rFonts w:ascii="Arial" w:hAnsi="Arial" w:cs="Arial"/>
          <w:sz w:val="18"/>
          <w:szCs w:val="18"/>
        </w:rPr>
        <w:t xml:space="preserve"> owner-occupation deal for their future headquarters</w:t>
      </w:r>
      <w:r w:rsidR="00D75504" w:rsidRPr="00461BF0">
        <w:rPr>
          <w:rFonts w:ascii="Arial" w:hAnsi="Arial" w:cs="Arial"/>
          <w:sz w:val="18"/>
          <w:szCs w:val="18"/>
        </w:rPr>
        <w:t xml:space="preserve"> in the Smíchov City complex in Prague 5, totalling </w:t>
      </w:r>
      <w:r w:rsidR="000F0563" w:rsidRPr="00461BF0">
        <w:rPr>
          <w:rFonts w:ascii="Arial" w:hAnsi="Arial" w:cs="Arial"/>
          <w:sz w:val="18"/>
          <w:szCs w:val="18"/>
        </w:rPr>
        <w:t>almost</w:t>
      </w:r>
      <w:r w:rsidR="003264D1" w:rsidRPr="00461BF0">
        <w:rPr>
          <w:rFonts w:ascii="Arial" w:hAnsi="Arial" w:cs="Arial"/>
          <w:sz w:val="18"/>
          <w:szCs w:val="18"/>
        </w:rPr>
        <w:t xml:space="preserve"> 4</w:t>
      </w:r>
      <w:r w:rsidR="000F0563" w:rsidRPr="00461BF0">
        <w:rPr>
          <w:rFonts w:ascii="Arial" w:hAnsi="Arial" w:cs="Arial"/>
          <w:sz w:val="18"/>
          <w:szCs w:val="18"/>
        </w:rPr>
        <w:t>4</w:t>
      </w:r>
      <w:r w:rsidR="00D75504" w:rsidRPr="00461BF0">
        <w:rPr>
          <w:rFonts w:ascii="Arial" w:hAnsi="Arial" w:cs="Arial"/>
          <w:sz w:val="18"/>
          <w:szCs w:val="18"/>
        </w:rPr>
        <w:t>,</w:t>
      </w:r>
      <w:r w:rsidR="000F0563" w:rsidRPr="00461BF0">
        <w:rPr>
          <w:rFonts w:ascii="Arial" w:hAnsi="Arial" w:cs="Arial"/>
          <w:sz w:val="18"/>
          <w:szCs w:val="18"/>
        </w:rPr>
        <w:t>2</w:t>
      </w:r>
      <w:r w:rsidR="00D75504" w:rsidRPr="00461BF0">
        <w:rPr>
          <w:rFonts w:ascii="Arial" w:hAnsi="Arial" w:cs="Arial"/>
          <w:sz w:val="18"/>
          <w:szCs w:val="18"/>
        </w:rPr>
        <w:t>00 sq m</w:t>
      </w:r>
      <w:r w:rsidR="00A132E0" w:rsidRPr="00461BF0">
        <w:rPr>
          <w:rFonts w:ascii="Arial" w:hAnsi="Arial" w:cs="Arial"/>
          <w:sz w:val="18"/>
          <w:szCs w:val="18"/>
        </w:rPr>
        <w:t xml:space="preserve"> and Creditas</w:t>
      </w:r>
      <w:r w:rsidR="00CA7421" w:rsidRPr="00461BF0">
        <w:rPr>
          <w:rFonts w:ascii="Arial" w:hAnsi="Arial" w:cs="Arial"/>
          <w:sz w:val="18"/>
          <w:szCs w:val="18"/>
        </w:rPr>
        <w:t>’s</w:t>
      </w:r>
      <w:r w:rsidR="00A132E0" w:rsidRPr="00461BF0">
        <w:rPr>
          <w:rFonts w:ascii="Arial" w:hAnsi="Arial" w:cs="Arial"/>
          <w:sz w:val="18"/>
          <w:szCs w:val="18"/>
        </w:rPr>
        <w:t xml:space="preserve"> owner-occupation deal for their future headquarters in the Rohan</w:t>
      </w:r>
      <w:r w:rsidR="003264D1" w:rsidRPr="00461BF0">
        <w:rPr>
          <w:rFonts w:ascii="Arial" w:hAnsi="Arial" w:cs="Arial"/>
          <w:sz w:val="18"/>
          <w:szCs w:val="18"/>
        </w:rPr>
        <w:t xml:space="preserve"> City </w:t>
      </w:r>
      <w:r w:rsidR="00A132E0" w:rsidRPr="00461BF0">
        <w:rPr>
          <w:rFonts w:ascii="Arial" w:hAnsi="Arial" w:cs="Arial"/>
          <w:sz w:val="18"/>
          <w:szCs w:val="18"/>
        </w:rPr>
        <w:t xml:space="preserve">complex in Prague 8, totalling </w:t>
      </w:r>
      <w:r w:rsidR="000F0563" w:rsidRPr="00461BF0">
        <w:rPr>
          <w:rFonts w:ascii="Arial" w:hAnsi="Arial" w:cs="Arial"/>
          <w:sz w:val="18"/>
          <w:szCs w:val="18"/>
        </w:rPr>
        <w:t>more than</w:t>
      </w:r>
      <w:r w:rsidR="008B0075" w:rsidRPr="00461BF0">
        <w:rPr>
          <w:rFonts w:ascii="Arial" w:hAnsi="Arial" w:cs="Arial"/>
          <w:sz w:val="18"/>
          <w:szCs w:val="18"/>
        </w:rPr>
        <w:t xml:space="preserve"> 1</w:t>
      </w:r>
      <w:r w:rsidR="000F0563" w:rsidRPr="00461BF0">
        <w:rPr>
          <w:rFonts w:ascii="Arial" w:hAnsi="Arial" w:cs="Arial"/>
          <w:sz w:val="18"/>
          <w:szCs w:val="18"/>
        </w:rPr>
        <w:t>6</w:t>
      </w:r>
      <w:r w:rsidR="00A132E0" w:rsidRPr="00461BF0">
        <w:rPr>
          <w:rFonts w:ascii="Arial" w:hAnsi="Arial" w:cs="Arial"/>
          <w:sz w:val="18"/>
          <w:szCs w:val="18"/>
        </w:rPr>
        <w:t>,</w:t>
      </w:r>
      <w:r w:rsidR="000F0563" w:rsidRPr="00461BF0">
        <w:rPr>
          <w:rFonts w:ascii="Arial" w:hAnsi="Arial" w:cs="Arial"/>
          <w:sz w:val="18"/>
          <w:szCs w:val="18"/>
        </w:rPr>
        <w:t>8</w:t>
      </w:r>
      <w:r w:rsidR="00A132E0" w:rsidRPr="00461BF0">
        <w:rPr>
          <w:rFonts w:ascii="Arial" w:hAnsi="Arial" w:cs="Arial"/>
          <w:sz w:val="18"/>
          <w:szCs w:val="18"/>
        </w:rPr>
        <w:t>00 sq m</w:t>
      </w:r>
      <w:r w:rsidR="001D5EC0" w:rsidRPr="00461BF0">
        <w:rPr>
          <w:rFonts w:ascii="Arial" w:hAnsi="Arial" w:cs="Arial"/>
          <w:sz w:val="18"/>
          <w:szCs w:val="18"/>
        </w:rPr>
        <w:t xml:space="preserve">. </w:t>
      </w:r>
      <w:r w:rsidR="00CE41AC" w:rsidRPr="00461BF0">
        <w:rPr>
          <w:rFonts w:ascii="Arial" w:hAnsi="Arial" w:cs="Arial"/>
          <w:sz w:val="18"/>
          <w:szCs w:val="18"/>
        </w:rPr>
        <w:t>This was followed by</w:t>
      </w:r>
      <w:r w:rsidR="00AE2B3F" w:rsidRPr="00461BF0">
        <w:rPr>
          <w:rFonts w:ascii="Arial" w:hAnsi="Arial" w:cs="Arial"/>
          <w:sz w:val="18"/>
          <w:szCs w:val="18"/>
        </w:rPr>
        <w:t xml:space="preserve"> </w:t>
      </w:r>
      <w:r w:rsidR="00780BC2" w:rsidRPr="00461BF0">
        <w:rPr>
          <w:rFonts w:ascii="Arial" w:hAnsi="Arial" w:cs="Arial"/>
          <w:sz w:val="18"/>
          <w:szCs w:val="18"/>
        </w:rPr>
        <w:t xml:space="preserve">a renegotiation </w:t>
      </w:r>
      <w:r w:rsidR="00407C89" w:rsidRPr="00461BF0">
        <w:rPr>
          <w:rFonts w:ascii="Arial" w:hAnsi="Arial" w:cs="Arial"/>
          <w:sz w:val="18"/>
          <w:szCs w:val="18"/>
        </w:rPr>
        <w:t xml:space="preserve">of </w:t>
      </w:r>
      <w:r w:rsidR="008262FF" w:rsidRPr="00461BF0">
        <w:rPr>
          <w:rFonts w:ascii="Arial" w:hAnsi="Arial" w:cs="Arial"/>
          <w:sz w:val="18"/>
          <w:szCs w:val="18"/>
        </w:rPr>
        <w:t xml:space="preserve">a </w:t>
      </w:r>
      <w:r w:rsidR="008B0075" w:rsidRPr="00461BF0">
        <w:rPr>
          <w:rFonts w:ascii="Arial" w:hAnsi="Arial" w:cs="Arial"/>
          <w:sz w:val="18"/>
          <w:szCs w:val="18"/>
        </w:rPr>
        <w:t>tenant</w:t>
      </w:r>
      <w:r w:rsidR="008262FF" w:rsidRPr="00461BF0">
        <w:rPr>
          <w:rFonts w:ascii="Arial" w:hAnsi="Arial" w:cs="Arial"/>
          <w:sz w:val="18"/>
          <w:szCs w:val="18"/>
        </w:rPr>
        <w:t xml:space="preserve"> from </w:t>
      </w:r>
      <w:r w:rsidR="00407C89" w:rsidRPr="00461BF0">
        <w:rPr>
          <w:rFonts w:ascii="Arial" w:hAnsi="Arial" w:cs="Arial"/>
          <w:sz w:val="18"/>
          <w:szCs w:val="18"/>
        </w:rPr>
        <w:t>the</w:t>
      </w:r>
      <w:r w:rsidR="008262FF" w:rsidRPr="00461BF0">
        <w:rPr>
          <w:rFonts w:ascii="Arial" w:hAnsi="Arial" w:cs="Arial"/>
          <w:sz w:val="18"/>
          <w:szCs w:val="18"/>
        </w:rPr>
        <w:t xml:space="preserve"> financial sector</w:t>
      </w:r>
      <w:r w:rsidR="008B0075" w:rsidRPr="00461BF0">
        <w:rPr>
          <w:rFonts w:ascii="Arial" w:hAnsi="Arial" w:cs="Arial"/>
          <w:sz w:val="18"/>
          <w:szCs w:val="18"/>
        </w:rPr>
        <w:t xml:space="preserve"> </w:t>
      </w:r>
      <w:r w:rsidR="000261DB" w:rsidRPr="00461BF0">
        <w:rPr>
          <w:rFonts w:ascii="Arial" w:hAnsi="Arial" w:cs="Arial"/>
          <w:sz w:val="18"/>
          <w:szCs w:val="18"/>
        </w:rPr>
        <w:t>(</w:t>
      </w:r>
      <w:r w:rsidR="008B0075" w:rsidRPr="00461BF0">
        <w:rPr>
          <w:rFonts w:ascii="Arial" w:hAnsi="Arial" w:cs="Arial"/>
          <w:sz w:val="18"/>
          <w:szCs w:val="18"/>
        </w:rPr>
        <w:t>6</w:t>
      </w:r>
      <w:r w:rsidR="000261DB" w:rsidRPr="00461BF0">
        <w:rPr>
          <w:rFonts w:ascii="Arial" w:hAnsi="Arial" w:cs="Arial"/>
          <w:sz w:val="18"/>
          <w:szCs w:val="18"/>
        </w:rPr>
        <w:t>,</w:t>
      </w:r>
      <w:r w:rsidR="008B0075" w:rsidRPr="00461BF0">
        <w:rPr>
          <w:rFonts w:ascii="Arial" w:hAnsi="Arial" w:cs="Arial"/>
          <w:sz w:val="18"/>
          <w:szCs w:val="18"/>
        </w:rPr>
        <w:t>6</w:t>
      </w:r>
      <w:r w:rsidR="000261DB" w:rsidRPr="00461BF0">
        <w:rPr>
          <w:rFonts w:ascii="Arial" w:hAnsi="Arial" w:cs="Arial"/>
          <w:sz w:val="18"/>
          <w:szCs w:val="18"/>
        </w:rPr>
        <w:t>00 sq m)</w:t>
      </w:r>
      <w:r w:rsidR="00780BC2" w:rsidRPr="00461BF0">
        <w:rPr>
          <w:rFonts w:ascii="Arial" w:hAnsi="Arial" w:cs="Arial"/>
          <w:sz w:val="18"/>
          <w:szCs w:val="18"/>
        </w:rPr>
        <w:t xml:space="preserve"> at </w:t>
      </w:r>
      <w:r w:rsidR="008B0075" w:rsidRPr="00461BF0">
        <w:rPr>
          <w:rFonts w:ascii="Arial" w:hAnsi="Arial" w:cs="Arial"/>
          <w:sz w:val="18"/>
          <w:szCs w:val="18"/>
        </w:rPr>
        <w:t>Zlatý Anděl</w:t>
      </w:r>
      <w:r w:rsidR="00780BC2" w:rsidRPr="00461BF0">
        <w:rPr>
          <w:rFonts w:ascii="Arial" w:hAnsi="Arial" w:cs="Arial"/>
          <w:sz w:val="18"/>
          <w:szCs w:val="18"/>
        </w:rPr>
        <w:t xml:space="preserve"> in Prague </w:t>
      </w:r>
      <w:r w:rsidR="00000F6E" w:rsidRPr="00461BF0">
        <w:rPr>
          <w:rFonts w:ascii="Arial" w:hAnsi="Arial" w:cs="Arial"/>
          <w:sz w:val="18"/>
          <w:szCs w:val="18"/>
        </w:rPr>
        <w:t>5</w:t>
      </w:r>
      <w:r w:rsidR="00780BC2" w:rsidRPr="00461BF0">
        <w:rPr>
          <w:rFonts w:ascii="Arial" w:hAnsi="Arial" w:cs="Arial"/>
          <w:sz w:val="18"/>
          <w:szCs w:val="18"/>
        </w:rPr>
        <w:t>, and a renegotiation</w:t>
      </w:r>
      <w:r w:rsidR="00B75DBA" w:rsidRPr="00461BF0">
        <w:rPr>
          <w:rFonts w:ascii="Arial" w:hAnsi="Arial" w:cs="Arial"/>
          <w:sz w:val="18"/>
          <w:szCs w:val="18"/>
        </w:rPr>
        <w:t xml:space="preserve"> combined</w:t>
      </w:r>
      <w:r w:rsidR="008B0075" w:rsidRPr="00461BF0">
        <w:rPr>
          <w:rFonts w:ascii="Arial" w:hAnsi="Arial" w:cs="Arial"/>
          <w:sz w:val="18"/>
          <w:szCs w:val="18"/>
        </w:rPr>
        <w:t xml:space="preserve"> with </w:t>
      </w:r>
      <w:r w:rsidR="00B75DBA" w:rsidRPr="00461BF0">
        <w:rPr>
          <w:rFonts w:ascii="Arial" w:hAnsi="Arial" w:cs="Arial"/>
          <w:sz w:val="18"/>
          <w:szCs w:val="18"/>
        </w:rPr>
        <w:t xml:space="preserve">an </w:t>
      </w:r>
      <w:r w:rsidR="008B0075" w:rsidRPr="00461BF0">
        <w:rPr>
          <w:rFonts w:ascii="Arial" w:hAnsi="Arial" w:cs="Arial"/>
          <w:sz w:val="18"/>
          <w:szCs w:val="18"/>
        </w:rPr>
        <w:t>expansion</w:t>
      </w:r>
      <w:r w:rsidR="00780BC2" w:rsidRPr="00461BF0">
        <w:rPr>
          <w:rFonts w:ascii="Arial" w:hAnsi="Arial" w:cs="Arial"/>
          <w:sz w:val="18"/>
          <w:szCs w:val="18"/>
        </w:rPr>
        <w:t xml:space="preserve"> </w:t>
      </w:r>
      <w:r w:rsidR="00000F6E" w:rsidRPr="00461BF0">
        <w:rPr>
          <w:rFonts w:ascii="Arial" w:hAnsi="Arial" w:cs="Arial"/>
          <w:sz w:val="18"/>
          <w:szCs w:val="18"/>
        </w:rPr>
        <w:t xml:space="preserve">of </w:t>
      </w:r>
      <w:r w:rsidR="008B0075" w:rsidRPr="00461BF0">
        <w:rPr>
          <w:rFonts w:ascii="Arial" w:hAnsi="Arial" w:cs="Arial"/>
          <w:sz w:val="18"/>
          <w:szCs w:val="18"/>
        </w:rPr>
        <w:t>Pure Storage</w:t>
      </w:r>
      <w:r w:rsidR="00490AB7" w:rsidRPr="00461BF0">
        <w:rPr>
          <w:rFonts w:ascii="Arial" w:hAnsi="Arial" w:cs="Arial"/>
          <w:sz w:val="18"/>
          <w:szCs w:val="18"/>
        </w:rPr>
        <w:t xml:space="preserve"> (</w:t>
      </w:r>
      <w:r w:rsidR="008B0075" w:rsidRPr="00461BF0">
        <w:rPr>
          <w:rFonts w:ascii="Arial" w:hAnsi="Arial" w:cs="Arial"/>
          <w:sz w:val="18"/>
          <w:szCs w:val="18"/>
        </w:rPr>
        <w:t>4</w:t>
      </w:r>
      <w:r w:rsidR="00490AB7" w:rsidRPr="00461BF0">
        <w:rPr>
          <w:rFonts w:ascii="Arial" w:hAnsi="Arial" w:cs="Arial"/>
          <w:sz w:val="18"/>
          <w:szCs w:val="18"/>
        </w:rPr>
        <w:t>,300 sq m)</w:t>
      </w:r>
      <w:r w:rsidR="00780BC2" w:rsidRPr="00461BF0">
        <w:rPr>
          <w:rFonts w:ascii="Arial" w:hAnsi="Arial" w:cs="Arial"/>
          <w:sz w:val="18"/>
          <w:szCs w:val="18"/>
        </w:rPr>
        <w:t xml:space="preserve"> at </w:t>
      </w:r>
      <w:r w:rsidR="000F0563" w:rsidRPr="00461BF0">
        <w:rPr>
          <w:rFonts w:ascii="Arial" w:hAnsi="Arial" w:cs="Arial"/>
          <w:sz w:val="18"/>
          <w:szCs w:val="18"/>
        </w:rPr>
        <w:t>A</w:t>
      </w:r>
      <w:r w:rsidR="008B0075" w:rsidRPr="00461BF0">
        <w:rPr>
          <w:rFonts w:ascii="Arial" w:hAnsi="Arial" w:cs="Arial"/>
          <w:sz w:val="18"/>
          <w:szCs w:val="18"/>
        </w:rPr>
        <w:t>mazon Court</w:t>
      </w:r>
      <w:r w:rsidR="00780BC2" w:rsidRPr="00461BF0">
        <w:rPr>
          <w:rFonts w:ascii="Arial" w:hAnsi="Arial" w:cs="Arial"/>
          <w:sz w:val="18"/>
          <w:szCs w:val="18"/>
        </w:rPr>
        <w:t xml:space="preserve"> in Prague </w:t>
      </w:r>
      <w:r w:rsidR="008B0075" w:rsidRPr="00461BF0">
        <w:rPr>
          <w:rFonts w:ascii="Arial" w:hAnsi="Arial" w:cs="Arial"/>
          <w:sz w:val="18"/>
          <w:szCs w:val="18"/>
        </w:rPr>
        <w:t>8</w:t>
      </w:r>
      <w:r w:rsidR="00780BC2" w:rsidRPr="00461BF0">
        <w:rPr>
          <w:rFonts w:ascii="Arial" w:hAnsi="Arial" w:cs="Arial"/>
          <w:sz w:val="18"/>
          <w:szCs w:val="18"/>
        </w:rPr>
        <w:t>.</w:t>
      </w:r>
    </w:p>
    <w:p w14:paraId="212065AB" w14:textId="3381A9FF" w:rsidR="00CE69BC" w:rsidRPr="00461BF0" w:rsidRDefault="46501747" w:rsidP="13405A99">
      <w:pPr>
        <w:spacing w:after="120"/>
        <w:jc w:val="both"/>
        <w:rPr>
          <w:rFonts w:ascii="Arial" w:hAnsi="Arial" w:cs="Arial"/>
          <w:sz w:val="18"/>
          <w:szCs w:val="18"/>
        </w:rPr>
      </w:pPr>
      <w:r w:rsidRPr="00461BF0">
        <w:rPr>
          <w:rFonts w:ascii="Arial" w:hAnsi="Arial" w:cs="Arial"/>
          <w:sz w:val="18"/>
          <w:szCs w:val="18"/>
        </w:rPr>
        <w:t xml:space="preserve">In line with the Prague Research Forum methodology, the </w:t>
      </w:r>
      <w:r w:rsidR="00CE69BC" w:rsidRPr="00461BF0">
        <w:rPr>
          <w:rFonts w:ascii="Arial" w:hAnsi="Arial" w:cs="Arial"/>
          <w:sz w:val="18"/>
          <w:szCs w:val="18"/>
        </w:rPr>
        <w:t>Č</w:t>
      </w:r>
      <w:r w:rsidR="00A132E0" w:rsidRPr="00461BF0">
        <w:rPr>
          <w:rFonts w:ascii="Arial" w:hAnsi="Arial" w:cs="Arial"/>
          <w:sz w:val="18"/>
          <w:szCs w:val="18"/>
        </w:rPr>
        <w:t>EZ and Creditas</w:t>
      </w:r>
      <w:r w:rsidR="00B52CE3" w:rsidRPr="00461BF0">
        <w:rPr>
          <w:rFonts w:ascii="Arial" w:hAnsi="Arial" w:cs="Arial"/>
          <w:sz w:val="18"/>
          <w:szCs w:val="18"/>
        </w:rPr>
        <w:t xml:space="preserve"> </w:t>
      </w:r>
      <w:r w:rsidR="3AE8A803" w:rsidRPr="00461BF0">
        <w:rPr>
          <w:rFonts w:ascii="Arial" w:hAnsi="Arial" w:cs="Arial"/>
          <w:sz w:val="18"/>
          <w:szCs w:val="18"/>
        </w:rPr>
        <w:t>transaction</w:t>
      </w:r>
      <w:r w:rsidR="000955E7" w:rsidRPr="00461BF0">
        <w:rPr>
          <w:rFonts w:ascii="Arial" w:hAnsi="Arial" w:cs="Arial"/>
          <w:sz w:val="18"/>
          <w:szCs w:val="18"/>
        </w:rPr>
        <w:t>s</w:t>
      </w:r>
      <w:r w:rsidR="3AE8A803" w:rsidRPr="00461BF0">
        <w:rPr>
          <w:rFonts w:ascii="Arial" w:hAnsi="Arial" w:cs="Arial"/>
          <w:sz w:val="18"/>
          <w:szCs w:val="18"/>
        </w:rPr>
        <w:t xml:space="preserve"> </w:t>
      </w:r>
      <w:r w:rsidR="0F9D4983" w:rsidRPr="00461BF0">
        <w:rPr>
          <w:rFonts w:ascii="Arial" w:hAnsi="Arial" w:cs="Arial"/>
          <w:sz w:val="18"/>
          <w:szCs w:val="18"/>
        </w:rPr>
        <w:t>w</w:t>
      </w:r>
      <w:r w:rsidR="00A132E0" w:rsidRPr="00461BF0">
        <w:rPr>
          <w:rFonts w:ascii="Arial" w:hAnsi="Arial" w:cs="Arial"/>
          <w:sz w:val="18"/>
          <w:szCs w:val="18"/>
        </w:rPr>
        <w:t>ere</w:t>
      </w:r>
      <w:r w:rsidR="0F9D4983" w:rsidRPr="00461BF0">
        <w:rPr>
          <w:rFonts w:ascii="Arial" w:hAnsi="Arial" w:cs="Arial"/>
          <w:sz w:val="18"/>
          <w:szCs w:val="18"/>
        </w:rPr>
        <w:t xml:space="preserve"> included in this quarter’s take-up based on the commencement of construction.</w:t>
      </w:r>
      <w:r w:rsidR="00CF628B" w:rsidRPr="00461BF0">
        <w:rPr>
          <w:rFonts w:ascii="Arial" w:hAnsi="Arial" w:cs="Arial"/>
          <w:sz w:val="18"/>
          <w:szCs w:val="18"/>
        </w:rPr>
        <w:t xml:space="preserve"> </w:t>
      </w:r>
    </w:p>
    <w:p w14:paraId="4C354A66" w14:textId="54A453D8" w:rsidR="00297AE2" w:rsidRPr="00461BF0" w:rsidRDefault="00297AE2" w:rsidP="00297AE2">
      <w:pPr>
        <w:pStyle w:val="Nadpis1"/>
      </w:pPr>
      <w:r w:rsidRPr="00461BF0">
        <w:t>Office Vacancy and Net Absorption</w:t>
      </w:r>
    </w:p>
    <w:p w14:paraId="35C3F407" w14:textId="77777777" w:rsidR="001733B2" w:rsidRPr="00461BF0" w:rsidRDefault="001733B2" w:rsidP="0086109D">
      <w:pPr>
        <w:spacing w:after="120"/>
        <w:jc w:val="both"/>
        <w:rPr>
          <w:rFonts w:ascii="Arial" w:hAnsi="Arial" w:cs="Arial"/>
          <w:sz w:val="18"/>
          <w:szCs w:val="18"/>
        </w:rPr>
      </w:pPr>
      <w:r w:rsidRPr="00461BF0">
        <w:rPr>
          <w:rFonts w:ascii="Arial" w:hAnsi="Arial" w:cs="Arial"/>
          <w:sz w:val="18"/>
          <w:szCs w:val="18"/>
        </w:rPr>
        <w:t>Net absorption, reflecting the change in occupied office space, increased by 23,800 sq m compared to the previous quarter.</w:t>
      </w:r>
    </w:p>
    <w:p w14:paraId="38B8BFC3" w14:textId="4438A7FA" w:rsidR="0086109D" w:rsidRPr="00461BF0" w:rsidRDefault="001733B2" w:rsidP="0086109D">
      <w:pPr>
        <w:spacing w:after="120"/>
        <w:jc w:val="both"/>
        <w:rPr>
          <w:rFonts w:ascii="Arial" w:hAnsi="Arial" w:cs="Arial"/>
          <w:sz w:val="18"/>
          <w:szCs w:val="18"/>
        </w:rPr>
      </w:pPr>
      <w:r w:rsidRPr="00461BF0">
        <w:rPr>
          <w:rFonts w:ascii="Arial" w:hAnsi="Arial" w:cs="Arial"/>
          <w:sz w:val="18"/>
          <w:szCs w:val="18"/>
        </w:rPr>
        <w:t>The office vacancy rate in Q2 2025 decreased by 43 bps quarter-on-quarter to 6.57%. Total vacant office space reached 259,000 sq m at the end of the quarter</w:t>
      </w:r>
      <w:r w:rsidRPr="00461BF0">
        <w:t xml:space="preserve">. </w:t>
      </w:r>
      <w:r w:rsidR="0086109D" w:rsidRPr="00461BF0">
        <w:rPr>
          <w:rFonts w:ascii="Arial" w:hAnsi="Arial" w:cs="Arial"/>
          <w:sz w:val="18"/>
          <w:szCs w:val="18"/>
        </w:rPr>
        <w:t>The largest vacant space</w:t>
      </w:r>
      <w:r w:rsidR="00F4589E" w:rsidRPr="00461BF0">
        <w:rPr>
          <w:rFonts w:ascii="Arial" w:hAnsi="Arial" w:cs="Arial"/>
          <w:sz w:val="18"/>
          <w:szCs w:val="18"/>
        </w:rPr>
        <w:t>s</w:t>
      </w:r>
      <w:r w:rsidR="0086109D" w:rsidRPr="00461BF0">
        <w:rPr>
          <w:rFonts w:ascii="Arial" w:hAnsi="Arial" w:cs="Arial"/>
          <w:sz w:val="18"/>
          <w:szCs w:val="18"/>
        </w:rPr>
        <w:t xml:space="preserve"> w</w:t>
      </w:r>
      <w:r w:rsidR="00F4589E" w:rsidRPr="00461BF0">
        <w:rPr>
          <w:rFonts w:ascii="Arial" w:hAnsi="Arial" w:cs="Arial"/>
          <w:sz w:val="18"/>
          <w:szCs w:val="18"/>
        </w:rPr>
        <w:t>ere</w:t>
      </w:r>
      <w:r w:rsidR="0086109D" w:rsidRPr="00461BF0">
        <w:rPr>
          <w:rFonts w:ascii="Arial" w:hAnsi="Arial" w:cs="Arial"/>
          <w:sz w:val="18"/>
          <w:szCs w:val="18"/>
        </w:rPr>
        <w:t xml:space="preserve"> registered in Prague </w:t>
      </w:r>
      <w:r w:rsidR="00A132E0" w:rsidRPr="00461BF0">
        <w:rPr>
          <w:rFonts w:ascii="Arial" w:hAnsi="Arial" w:cs="Arial"/>
          <w:sz w:val="18"/>
          <w:szCs w:val="18"/>
        </w:rPr>
        <w:t>4</w:t>
      </w:r>
      <w:r w:rsidR="0086109D" w:rsidRPr="00461BF0">
        <w:rPr>
          <w:rFonts w:ascii="Arial" w:hAnsi="Arial" w:cs="Arial"/>
          <w:sz w:val="18"/>
          <w:szCs w:val="18"/>
        </w:rPr>
        <w:t xml:space="preserve"> </w:t>
      </w:r>
      <w:r w:rsidR="00A84B6F" w:rsidRPr="00461BF0">
        <w:rPr>
          <w:rFonts w:ascii="Arial" w:hAnsi="Arial" w:cs="Arial"/>
          <w:sz w:val="18"/>
          <w:szCs w:val="18"/>
        </w:rPr>
        <w:br/>
      </w:r>
      <w:r w:rsidR="0086109D" w:rsidRPr="00461BF0">
        <w:rPr>
          <w:rFonts w:ascii="Arial" w:hAnsi="Arial" w:cs="Arial"/>
          <w:sz w:val="18"/>
          <w:szCs w:val="18"/>
        </w:rPr>
        <w:t>(5</w:t>
      </w:r>
      <w:r w:rsidR="00F85F6B" w:rsidRPr="00461BF0">
        <w:rPr>
          <w:rFonts w:ascii="Arial" w:hAnsi="Arial" w:cs="Arial"/>
          <w:sz w:val="18"/>
          <w:szCs w:val="18"/>
        </w:rPr>
        <w:t>6,7</w:t>
      </w:r>
      <w:r w:rsidR="0086109D" w:rsidRPr="00461BF0">
        <w:rPr>
          <w:rFonts w:ascii="Arial" w:hAnsi="Arial" w:cs="Arial"/>
          <w:sz w:val="18"/>
          <w:szCs w:val="18"/>
        </w:rPr>
        <w:t>00 sq</w:t>
      </w:r>
      <w:r w:rsidR="00432DE5" w:rsidRPr="00461BF0">
        <w:rPr>
          <w:rFonts w:ascii="Arial" w:hAnsi="Arial" w:cs="Arial"/>
          <w:sz w:val="18"/>
          <w:szCs w:val="18"/>
        </w:rPr>
        <w:t xml:space="preserve"> </w:t>
      </w:r>
      <w:r w:rsidR="0086109D" w:rsidRPr="00461BF0">
        <w:rPr>
          <w:rFonts w:ascii="Arial" w:hAnsi="Arial" w:cs="Arial"/>
          <w:sz w:val="18"/>
          <w:szCs w:val="18"/>
        </w:rPr>
        <w:t xml:space="preserve">m) and Prague </w:t>
      </w:r>
      <w:r w:rsidR="00A132E0" w:rsidRPr="00461BF0">
        <w:rPr>
          <w:rFonts w:ascii="Arial" w:hAnsi="Arial" w:cs="Arial"/>
          <w:sz w:val="18"/>
          <w:szCs w:val="18"/>
        </w:rPr>
        <w:t>5</w:t>
      </w:r>
      <w:r w:rsidR="0086109D" w:rsidRPr="00461BF0">
        <w:rPr>
          <w:rFonts w:ascii="Arial" w:hAnsi="Arial" w:cs="Arial"/>
          <w:sz w:val="18"/>
          <w:szCs w:val="18"/>
        </w:rPr>
        <w:t xml:space="preserve"> (5</w:t>
      </w:r>
      <w:r w:rsidR="00F85F6B" w:rsidRPr="00461BF0">
        <w:rPr>
          <w:rFonts w:ascii="Arial" w:hAnsi="Arial" w:cs="Arial"/>
          <w:sz w:val="18"/>
          <w:szCs w:val="18"/>
        </w:rPr>
        <w:t>4,6</w:t>
      </w:r>
      <w:r w:rsidR="0086109D" w:rsidRPr="00461BF0">
        <w:rPr>
          <w:rFonts w:ascii="Arial" w:hAnsi="Arial" w:cs="Arial"/>
          <w:sz w:val="18"/>
          <w:szCs w:val="18"/>
        </w:rPr>
        <w:t>00 sq</w:t>
      </w:r>
      <w:r w:rsidR="00432DE5" w:rsidRPr="00461BF0">
        <w:rPr>
          <w:rFonts w:ascii="Arial" w:hAnsi="Arial" w:cs="Arial"/>
          <w:sz w:val="18"/>
          <w:szCs w:val="18"/>
        </w:rPr>
        <w:t xml:space="preserve"> </w:t>
      </w:r>
      <w:r w:rsidR="0086109D" w:rsidRPr="00461BF0">
        <w:rPr>
          <w:rFonts w:ascii="Arial" w:hAnsi="Arial" w:cs="Arial"/>
          <w:sz w:val="18"/>
          <w:szCs w:val="18"/>
        </w:rPr>
        <w:t xml:space="preserve">m), the least vacant space </w:t>
      </w:r>
      <w:r w:rsidR="00BB4996" w:rsidRPr="00461BF0">
        <w:rPr>
          <w:rFonts w:ascii="Arial" w:hAnsi="Arial" w:cs="Arial"/>
          <w:sz w:val="18"/>
          <w:szCs w:val="18"/>
        </w:rPr>
        <w:t>was</w:t>
      </w:r>
      <w:r w:rsidR="0086109D" w:rsidRPr="00461BF0">
        <w:rPr>
          <w:rFonts w:ascii="Arial" w:hAnsi="Arial" w:cs="Arial"/>
          <w:sz w:val="18"/>
          <w:szCs w:val="18"/>
        </w:rPr>
        <w:t xml:space="preserve"> in Prague 2 (</w:t>
      </w:r>
      <w:r w:rsidR="00A132E0" w:rsidRPr="00461BF0">
        <w:rPr>
          <w:rFonts w:ascii="Arial" w:hAnsi="Arial" w:cs="Arial"/>
          <w:sz w:val="18"/>
          <w:szCs w:val="18"/>
        </w:rPr>
        <w:t>2</w:t>
      </w:r>
      <w:r w:rsidR="0086109D" w:rsidRPr="00461BF0">
        <w:rPr>
          <w:rFonts w:ascii="Arial" w:hAnsi="Arial" w:cs="Arial"/>
          <w:sz w:val="18"/>
          <w:szCs w:val="18"/>
        </w:rPr>
        <w:t>,</w:t>
      </w:r>
      <w:r w:rsidR="00A132E0" w:rsidRPr="00461BF0">
        <w:rPr>
          <w:rFonts w:ascii="Arial" w:hAnsi="Arial" w:cs="Arial"/>
          <w:sz w:val="18"/>
          <w:szCs w:val="18"/>
        </w:rPr>
        <w:t>6</w:t>
      </w:r>
      <w:r w:rsidR="0086109D" w:rsidRPr="00461BF0">
        <w:rPr>
          <w:rFonts w:ascii="Arial" w:hAnsi="Arial" w:cs="Arial"/>
          <w:sz w:val="18"/>
          <w:szCs w:val="18"/>
        </w:rPr>
        <w:t>00 sq</w:t>
      </w:r>
      <w:r w:rsidR="00432DE5" w:rsidRPr="00461BF0">
        <w:rPr>
          <w:rFonts w:ascii="Arial" w:hAnsi="Arial" w:cs="Arial"/>
          <w:sz w:val="18"/>
          <w:szCs w:val="18"/>
        </w:rPr>
        <w:t xml:space="preserve"> </w:t>
      </w:r>
      <w:r w:rsidR="0086109D" w:rsidRPr="00461BF0">
        <w:rPr>
          <w:rFonts w:ascii="Arial" w:hAnsi="Arial" w:cs="Arial"/>
          <w:sz w:val="18"/>
          <w:szCs w:val="18"/>
        </w:rPr>
        <w:t>m)</w:t>
      </w:r>
      <w:r w:rsidR="00F85F6B" w:rsidRPr="00461BF0">
        <w:rPr>
          <w:rFonts w:ascii="Arial" w:hAnsi="Arial" w:cs="Arial"/>
          <w:sz w:val="18"/>
          <w:szCs w:val="18"/>
        </w:rPr>
        <w:t xml:space="preserve"> and in Prague 6 (9,900 sq</w:t>
      </w:r>
      <w:r w:rsidR="00432DE5" w:rsidRPr="00461BF0">
        <w:rPr>
          <w:rFonts w:ascii="Arial" w:hAnsi="Arial" w:cs="Arial"/>
          <w:sz w:val="18"/>
          <w:szCs w:val="18"/>
        </w:rPr>
        <w:t xml:space="preserve"> </w:t>
      </w:r>
      <w:r w:rsidR="00F85F6B" w:rsidRPr="00461BF0">
        <w:rPr>
          <w:rFonts w:ascii="Arial" w:hAnsi="Arial" w:cs="Arial"/>
          <w:sz w:val="18"/>
          <w:szCs w:val="18"/>
        </w:rPr>
        <w:t>m)</w:t>
      </w:r>
      <w:r w:rsidR="0086109D" w:rsidRPr="00461BF0">
        <w:rPr>
          <w:rFonts w:ascii="Arial" w:hAnsi="Arial" w:cs="Arial"/>
          <w:sz w:val="18"/>
          <w:szCs w:val="18"/>
        </w:rPr>
        <w:t>, which are overall small office submarkets. In terms of the vacancy rate, the highest vacancy rate</w:t>
      </w:r>
      <w:r w:rsidR="00F4589E" w:rsidRPr="00461BF0">
        <w:rPr>
          <w:rFonts w:ascii="Arial" w:hAnsi="Arial" w:cs="Arial"/>
          <w:sz w:val="18"/>
          <w:szCs w:val="18"/>
        </w:rPr>
        <w:t>s</w:t>
      </w:r>
      <w:r w:rsidR="0086109D" w:rsidRPr="00461BF0">
        <w:rPr>
          <w:rFonts w:ascii="Arial" w:hAnsi="Arial" w:cs="Arial"/>
          <w:sz w:val="18"/>
          <w:szCs w:val="18"/>
        </w:rPr>
        <w:t xml:space="preserve"> w</w:t>
      </w:r>
      <w:r w:rsidR="00F4589E" w:rsidRPr="00461BF0">
        <w:rPr>
          <w:rFonts w:ascii="Arial" w:hAnsi="Arial" w:cs="Arial"/>
          <w:sz w:val="18"/>
          <w:szCs w:val="18"/>
        </w:rPr>
        <w:t>ere</w:t>
      </w:r>
      <w:r w:rsidR="0086109D" w:rsidRPr="00461BF0">
        <w:rPr>
          <w:rFonts w:ascii="Arial" w:hAnsi="Arial" w:cs="Arial"/>
          <w:sz w:val="18"/>
          <w:szCs w:val="18"/>
        </w:rPr>
        <w:t xml:space="preserve"> in Prague 3 (1</w:t>
      </w:r>
      <w:r w:rsidR="00A132E0" w:rsidRPr="00461BF0">
        <w:rPr>
          <w:rFonts w:ascii="Arial" w:hAnsi="Arial" w:cs="Arial"/>
          <w:sz w:val="18"/>
          <w:szCs w:val="18"/>
        </w:rPr>
        <w:t>3</w:t>
      </w:r>
      <w:r w:rsidR="0086109D" w:rsidRPr="00461BF0">
        <w:rPr>
          <w:rFonts w:ascii="Arial" w:hAnsi="Arial" w:cs="Arial"/>
          <w:sz w:val="18"/>
          <w:szCs w:val="18"/>
        </w:rPr>
        <w:t>.</w:t>
      </w:r>
      <w:r w:rsidR="00A132E0" w:rsidRPr="00461BF0">
        <w:rPr>
          <w:rFonts w:ascii="Arial" w:hAnsi="Arial" w:cs="Arial"/>
          <w:sz w:val="18"/>
          <w:szCs w:val="18"/>
        </w:rPr>
        <w:t>2</w:t>
      </w:r>
      <w:r w:rsidR="0086109D" w:rsidRPr="00461BF0">
        <w:rPr>
          <w:rFonts w:ascii="Arial" w:hAnsi="Arial" w:cs="Arial"/>
          <w:sz w:val="18"/>
          <w:szCs w:val="18"/>
        </w:rPr>
        <w:t xml:space="preserve">%) and in Prague </w:t>
      </w:r>
      <w:r w:rsidR="00A132E0" w:rsidRPr="00461BF0">
        <w:rPr>
          <w:rFonts w:ascii="Arial" w:hAnsi="Arial" w:cs="Arial"/>
          <w:sz w:val="18"/>
          <w:szCs w:val="18"/>
        </w:rPr>
        <w:t>9</w:t>
      </w:r>
      <w:r w:rsidR="0086109D" w:rsidRPr="00461BF0">
        <w:rPr>
          <w:rFonts w:ascii="Arial" w:hAnsi="Arial" w:cs="Arial"/>
          <w:sz w:val="18"/>
          <w:szCs w:val="18"/>
        </w:rPr>
        <w:t xml:space="preserve"> (1</w:t>
      </w:r>
      <w:r w:rsidR="00A132E0" w:rsidRPr="00461BF0">
        <w:rPr>
          <w:rFonts w:ascii="Arial" w:hAnsi="Arial" w:cs="Arial"/>
          <w:sz w:val="18"/>
          <w:szCs w:val="18"/>
        </w:rPr>
        <w:t>2</w:t>
      </w:r>
      <w:r w:rsidR="0086109D" w:rsidRPr="00461BF0">
        <w:rPr>
          <w:rFonts w:ascii="Arial" w:hAnsi="Arial" w:cs="Arial"/>
          <w:sz w:val="18"/>
          <w:szCs w:val="18"/>
        </w:rPr>
        <w:t>.</w:t>
      </w:r>
      <w:r w:rsidR="00A132E0" w:rsidRPr="00461BF0">
        <w:rPr>
          <w:rFonts w:ascii="Arial" w:hAnsi="Arial" w:cs="Arial"/>
          <w:sz w:val="18"/>
          <w:szCs w:val="18"/>
        </w:rPr>
        <w:t>6</w:t>
      </w:r>
      <w:r w:rsidR="0086109D" w:rsidRPr="00461BF0">
        <w:rPr>
          <w:rFonts w:ascii="Arial" w:hAnsi="Arial" w:cs="Arial"/>
          <w:sz w:val="18"/>
          <w:szCs w:val="18"/>
        </w:rPr>
        <w:t>%), the lowest vacancy rate</w:t>
      </w:r>
      <w:r w:rsidR="00F4589E" w:rsidRPr="00461BF0">
        <w:rPr>
          <w:rFonts w:ascii="Arial" w:hAnsi="Arial" w:cs="Arial"/>
          <w:sz w:val="18"/>
          <w:szCs w:val="18"/>
        </w:rPr>
        <w:t>s</w:t>
      </w:r>
      <w:r w:rsidR="0086109D" w:rsidRPr="00461BF0">
        <w:rPr>
          <w:rFonts w:ascii="Arial" w:hAnsi="Arial" w:cs="Arial"/>
          <w:sz w:val="18"/>
          <w:szCs w:val="18"/>
        </w:rPr>
        <w:t xml:space="preserve"> then in Prague </w:t>
      </w:r>
      <w:r w:rsidR="00473E7B" w:rsidRPr="00461BF0">
        <w:rPr>
          <w:rFonts w:ascii="Arial" w:hAnsi="Arial" w:cs="Arial"/>
          <w:sz w:val="18"/>
          <w:szCs w:val="18"/>
        </w:rPr>
        <w:t xml:space="preserve">2 </w:t>
      </w:r>
      <w:r w:rsidR="0086109D" w:rsidRPr="00461BF0">
        <w:rPr>
          <w:rFonts w:ascii="Arial" w:hAnsi="Arial" w:cs="Arial"/>
          <w:sz w:val="18"/>
          <w:szCs w:val="18"/>
        </w:rPr>
        <w:t>(</w:t>
      </w:r>
      <w:r w:rsidR="002726C1" w:rsidRPr="00461BF0">
        <w:rPr>
          <w:rFonts w:ascii="Arial" w:hAnsi="Arial" w:cs="Arial"/>
          <w:sz w:val="18"/>
          <w:szCs w:val="18"/>
        </w:rPr>
        <w:t>2</w:t>
      </w:r>
      <w:r w:rsidR="0086109D" w:rsidRPr="00461BF0">
        <w:rPr>
          <w:rFonts w:ascii="Arial" w:hAnsi="Arial" w:cs="Arial"/>
          <w:sz w:val="18"/>
          <w:szCs w:val="18"/>
        </w:rPr>
        <w:t>.</w:t>
      </w:r>
      <w:r w:rsidR="002726C1" w:rsidRPr="00461BF0">
        <w:rPr>
          <w:rFonts w:ascii="Arial" w:hAnsi="Arial" w:cs="Arial"/>
          <w:sz w:val="18"/>
          <w:szCs w:val="18"/>
        </w:rPr>
        <w:t>0</w:t>
      </w:r>
      <w:r w:rsidR="0086109D" w:rsidRPr="00461BF0">
        <w:rPr>
          <w:rFonts w:ascii="Arial" w:hAnsi="Arial" w:cs="Arial"/>
          <w:sz w:val="18"/>
          <w:szCs w:val="18"/>
        </w:rPr>
        <w:t xml:space="preserve">%) and in Prague </w:t>
      </w:r>
      <w:r w:rsidR="002726C1" w:rsidRPr="00461BF0">
        <w:rPr>
          <w:rFonts w:ascii="Arial" w:hAnsi="Arial" w:cs="Arial"/>
          <w:sz w:val="18"/>
          <w:szCs w:val="18"/>
        </w:rPr>
        <w:t>8</w:t>
      </w:r>
      <w:r w:rsidR="0086109D" w:rsidRPr="00461BF0">
        <w:rPr>
          <w:rFonts w:ascii="Arial" w:hAnsi="Arial" w:cs="Arial"/>
          <w:sz w:val="18"/>
          <w:szCs w:val="18"/>
        </w:rPr>
        <w:t xml:space="preserve"> (</w:t>
      </w:r>
      <w:r w:rsidR="002726C1" w:rsidRPr="00461BF0">
        <w:rPr>
          <w:rFonts w:ascii="Arial" w:hAnsi="Arial" w:cs="Arial"/>
          <w:sz w:val="18"/>
          <w:szCs w:val="18"/>
        </w:rPr>
        <w:t>3</w:t>
      </w:r>
      <w:r w:rsidR="0086109D" w:rsidRPr="00461BF0">
        <w:rPr>
          <w:rFonts w:ascii="Arial" w:hAnsi="Arial" w:cs="Arial"/>
          <w:sz w:val="18"/>
          <w:szCs w:val="18"/>
        </w:rPr>
        <w:t>.</w:t>
      </w:r>
      <w:r w:rsidR="002726C1" w:rsidRPr="00461BF0">
        <w:rPr>
          <w:rFonts w:ascii="Arial" w:hAnsi="Arial" w:cs="Arial"/>
          <w:sz w:val="18"/>
          <w:szCs w:val="18"/>
        </w:rPr>
        <w:t>9</w:t>
      </w:r>
      <w:r w:rsidR="0086109D" w:rsidRPr="00461BF0">
        <w:rPr>
          <w:rFonts w:ascii="Arial" w:hAnsi="Arial" w:cs="Arial"/>
          <w:sz w:val="18"/>
          <w:szCs w:val="18"/>
        </w:rPr>
        <w:t xml:space="preserve">%). </w:t>
      </w:r>
    </w:p>
    <w:p w14:paraId="22CB9F8E" w14:textId="77777777" w:rsidR="00297AE2" w:rsidRPr="00461BF0" w:rsidRDefault="00297AE2" w:rsidP="00297AE2">
      <w:pPr>
        <w:pStyle w:val="Nadpis1"/>
      </w:pPr>
      <w:r w:rsidRPr="00461BF0">
        <w:t>Rents</w:t>
      </w:r>
    </w:p>
    <w:p w14:paraId="35EF5E30" w14:textId="6C7A1FC5" w:rsidR="0086109D" w:rsidRPr="00461BF0" w:rsidRDefault="0086109D" w:rsidP="0086109D">
      <w:pPr>
        <w:spacing w:after="120"/>
        <w:jc w:val="both"/>
        <w:rPr>
          <w:rFonts w:ascii="Arial" w:hAnsi="Arial" w:cs="Arial"/>
          <w:sz w:val="18"/>
          <w:szCs w:val="18"/>
        </w:rPr>
      </w:pPr>
      <w:r w:rsidRPr="00461BF0">
        <w:rPr>
          <w:rFonts w:ascii="Arial" w:hAnsi="Arial" w:cs="Arial"/>
          <w:sz w:val="18"/>
          <w:szCs w:val="18"/>
        </w:rPr>
        <w:t xml:space="preserve">Prime headline rents </w:t>
      </w:r>
      <w:r w:rsidR="00FC62D6" w:rsidRPr="00461BF0">
        <w:rPr>
          <w:rFonts w:ascii="Arial" w:hAnsi="Arial" w:cs="Arial"/>
          <w:sz w:val="18"/>
          <w:szCs w:val="18"/>
        </w:rPr>
        <w:t>remained</w:t>
      </w:r>
      <w:r w:rsidR="00C722CE" w:rsidRPr="00461BF0">
        <w:rPr>
          <w:rFonts w:ascii="Arial" w:hAnsi="Arial" w:cs="Arial"/>
          <w:sz w:val="18"/>
          <w:szCs w:val="18"/>
        </w:rPr>
        <w:t xml:space="preserve"> stable</w:t>
      </w:r>
      <w:r w:rsidRPr="00461BF0">
        <w:rPr>
          <w:rFonts w:ascii="Arial" w:hAnsi="Arial" w:cs="Arial"/>
          <w:sz w:val="18"/>
          <w:szCs w:val="18"/>
        </w:rPr>
        <w:t xml:space="preserve"> in the </w:t>
      </w:r>
      <w:r w:rsidR="00C722CE" w:rsidRPr="00461BF0">
        <w:rPr>
          <w:rFonts w:ascii="Arial" w:hAnsi="Arial" w:cs="Arial"/>
          <w:sz w:val="18"/>
          <w:szCs w:val="18"/>
        </w:rPr>
        <w:t>second</w:t>
      </w:r>
      <w:r w:rsidRPr="00461BF0">
        <w:rPr>
          <w:rFonts w:ascii="Arial" w:hAnsi="Arial" w:cs="Arial"/>
          <w:sz w:val="18"/>
          <w:szCs w:val="18"/>
        </w:rPr>
        <w:t xml:space="preserve"> quarter of 202</w:t>
      </w:r>
      <w:r w:rsidR="00C722CE" w:rsidRPr="00461BF0">
        <w:rPr>
          <w:rFonts w:ascii="Arial" w:hAnsi="Arial" w:cs="Arial"/>
          <w:sz w:val="18"/>
          <w:szCs w:val="18"/>
        </w:rPr>
        <w:t>5</w:t>
      </w:r>
      <w:r w:rsidRPr="00461BF0">
        <w:rPr>
          <w:rFonts w:ascii="Arial" w:hAnsi="Arial" w:cs="Arial"/>
          <w:sz w:val="18"/>
          <w:szCs w:val="18"/>
        </w:rPr>
        <w:t xml:space="preserve"> at around €2</w:t>
      </w:r>
      <w:r w:rsidR="00C722CE" w:rsidRPr="00461BF0">
        <w:rPr>
          <w:rFonts w:ascii="Arial" w:hAnsi="Arial" w:cs="Arial"/>
          <w:sz w:val="18"/>
          <w:szCs w:val="18"/>
        </w:rPr>
        <w:t>9</w:t>
      </w:r>
      <w:r w:rsidRPr="00461BF0">
        <w:rPr>
          <w:rFonts w:ascii="Arial" w:hAnsi="Arial" w:cs="Arial"/>
          <w:sz w:val="18"/>
          <w:szCs w:val="18"/>
        </w:rPr>
        <w:t>.00-</w:t>
      </w:r>
      <w:r w:rsidR="00C722CE" w:rsidRPr="00461BF0">
        <w:rPr>
          <w:rFonts w:ascii="Arial" w:hAnsi="Arial" w:cs="Arial"/>
          <w:sz w:val="18"/>
          <w:szCs w:val="18"/>
        </w:rPr>
        <w:t>30</w:t>
      </w:r>
      <w:r w:rsidRPr="00461BF0">
        <w:rPr>
          <w:rFonts w:ascii="Arial" w:hAnsi="Arial" w:cs="Arial"/>
          <w:sz w:val="18"/>
          <w:szCs w:val="18"/>
        </w:rPr>
        <w:t>.</w:t>
      </w:r>
      <w:r w:rsidR="00C722CE" w:rsidRPr="00461BF0">
        <w:rPr>
          <w:rFonts w:ascii="Arial" w:hAnsi="Arial" w:cs="Arial"/>
          <w:sz w:val="18"/>
          <w:szCs w:val="18"/>
        </w:rPr>
        <w:t>0</w:t>
      </w:r>
      <w:r w:rsidRPr="00461BF0">
        <w:rPr>
          <w:rFonts w:ascii="Arial" w:hAnsi="Arial" w:cs="Arial"/>
          <w:sz w:val="18"/>
          <w:szCs w:val="18"/>
        </w:rPr>
        <w:t xml:space="preserve">0 per sqm per month in the city centre, </w:t>
      </w:r>
      <w:r w:rsidR="008262FF" w:rsidRPr="00461BF0">
        <w:rPr>
          <w:rFonts w:ascii="Arial" w:hAnsi="Arial" w:cs="Arial"/>
          <w:sz w:val="18"/>
          <w:szCs w:val="18"/>
        </w:rPr>
        <w:t xml:space="preserve">prime rent in the inner city </w:t>
      </w:r>
      <w:r w:rsidR="00F4589E" w:rsidRPr="00461BF0">
        <w:rPr>
          <w:rFonts w:ascii="Arial" w:hAnsi="Arial" w:cs="Arial"/>
          <w:sz w:val="18"/>
          <w:szCs w:val="18"/>
        </w:rPr>
        <w:t xml:space="preserve">increased slightly to </w:t>
      </w:r>
      <w:r w:rsidRPr="00461BF0">
        <w:rPr>
          <w:rFonts w:ascii="Arial" w:hAnsi="Arial" w:cs="Arial"/>
          <w:sz w:val="18"/>
          <w:szCs w:val="18"/>
        </w:rPr>
        <w:t>€1</w:t>
      </w:r>
      <w:r w:rsidR="00C722CE" w:rsidRPr="00461BF0">
        <w:rPr>
          <w:rFonts w:ascii="Arial" w:hAnsi="Arial" w:cs="Arial"/>
          <w:sz w:val="18"/>
          <w:szCs w:val="18"/>
        </w:rPr>
        <w:t>9</w:t>
      </w:r>
      <w:r w:rsidRPr="00461BF0">
        <w:rPr>
          <w:rFonts w:ascii="Arial" w:hAnsi="Arial" w:cs="Arial"/>
          <w:sz w:val="18"/>
          <w:szCs w:val="18"/>
        </w:rPr>
        <w:t>.5</w:t>
      </w:r>
      <w:r w:rsidR="00C722CE" w:rsidRPr="00461BF0">
        <w:rPr>
          <w:rFonts w:ascii="Arial" w:hAnsi="Arial" w:cs="Arial"/>
          <w:sz w:val="18"/>
          <w:szCs w:val="18"/>
        </w:rPr>
        <w:t>0</w:t>
      </w:r>
      <w:r w:rsidRPr="00461BF0">
        <w:rPr>
          <w:rFonts w:ascii="Arial" w:hAnsi="Arial" w:cs="Arial"/>
          <w:sz w:val="18"/>
          <w:szCs w:val="18"/>
        </w:rPr>
        <w:t>-</w:t>
      </w:r>
      <w:r w:rsidR="00C722CE" w:rsidRPr="00461BF0">
        <w:rPr>
          <w:rFonts w:ascii="Arial" w:hAnsi="Arial" w:cs="Arial"/>
          <w:sz w:val="18"/>
          <w:szCs w:val="18"/>
        </w:rPr>
        <w:t>20</w:t>
      </w:r>
      <w:r w:rsidRPr="00461BF0">
        <w:rPr>
          <w:rFonts w:ascii="Arial" w:hAnsi="Arial" w:cs="Arial"/>
          <w:sz w:val="18"/>
          <w:szCs w:val="18"/>
        </w:rPr>
        <w:t>.50 per sqm per month and €15.</w:t>
      </w:r>
      <w:r w:rsidR="00C722CE" w:rsidRPr="00461BF0">
        <w:rPr>
          <w:rFonts w:ascii="Arial" w:hAnsi="Arial" w:cs="Arial"/>
          <w:sz w:val="18"/>
          <w:szCs w:val="18"/>
        </w:rPr>
        <w:t>5</w:t>
      </w:r>
      <w:r w:rsidRPr="00461BF0">
        <w:rPr>
          <w:rFonts w:ascii="Arial" w:hAnsi="Arial" w:cs="Arial"/>
          <w:sz w:val="18"/>
          <w:szCs w:val="18"/>
        </w:rPr>
        <w:t>0-16.</w:t>
      </w:r>
      <w:r w:rsidR="00C722CE" w:rsidRPr="00461BF0">
        <w:rPr>
          <w:rFonts w:ascii="Arial" w:hAnsi="Arial" w:cs="Arial"/>
          <w:sz w:val="18"/>
          <w:szCs w:val="18"/>
        </w:rPr>
        <w:t>5</w:t>
      </w:r>
      <w:r w:rsidRPr="00461BF0">
        <w:rPr>
          <w:rFonts w:ascii="Arial" w:hAnsi="Arial" w:cs="Arial"/>
          <w:sz w:val="18"/>
          <w:szCs w:val="18"/>
        </w:rPr>
        <w:t>0 per sqm per month in the outer parts of Prague.</w:t>
      </w:r>
    </w:p>
    <w:p w14:paraId="3AFD2045" w14:textId="174B04E8" w:rsidR="0086109D" w:rsidRPr="00461BF0" w:rsidRDefault="00F4589E" w:rsidP="0086109D">
      <w:pPr>
        <w:spacing w:after="120"/>
        <w:jc w:val="both"/>
        <w:rPr>
          <w:rFonts w:ascii="Arial" w:hAnsi="Arial" w:cs="Arial"/>
          <w:sz w:val="18"/>
          <w:szCs w:val="18"/>
        </w:rPr>
      </w:pPr>
      <w:r w:rsidRPr="00461BF0">
        <w:rPr>
          <w:rFonts w:ascii="Arial" w:hAnsi="Arial" w:cs="Arial"/>
          <w:sz w:val="18"/>
          <w:szCs w:val="18"/>
        </w:rPr>
        <w:t>In addition to rents, growing construction costs are increasingly reflected in the total volume of fit-out contributions and other forms of incentives provided by landlords.</w:t>
      </w:r>
      <w:r w:rsidR="0086109D" w:rsidRPr="00461BF0">
        <w:rPr>
          <w:rFonts w:ascii="Arial" w:hAnsi="Arial" w:cs="Arial"/>
          <w:sz w:val="18"/>
          <w:szCs w:val="18"/>
        </w:rPr>
        <w:t xml:space="preserve"> </w:t>
      </w:r>
    </w:p>
    <w:p w14:paraId="69A77B20" w14:textId="77777777" w:rsidR="00297AE2" w:rsidRPr="00461BF0" w:rsidRDefault="00297AE2" w:rsidP="00297AE2">
      <w:pPr>
        <w:pageBreakBefore/>
        <w:rPr>
          <w:rFonts w:ascii="Arial" w:hAnsi="Arial" w:cs="Arial"/>
          <w:b/>
          <w:bCs/>
          <w:sz w:val="24"/>
          <w:szCs w:val="24"/>
        </w:rPr>
      </w:pPr>
      <w:r w:rsidRPr="00461BF0">
        <w:rPr>
          <w:rFonts w:ascii="Arial" w:hAnsi="Arial" w:cs="Arial"/>
          <w:b/>
          <w:bCs/>
          <w:noProof/>
          <w:sz w:val="24"/>
          <w:szCs w:val="24"/>
        </w:rPr>
        <w:lastRenderedPageBreak/>
        <w:t>Classification of office properties</w:t>
      </w:r>
    </w:p>
    <w:p w14:paraId="592B7CC7" w14:textId="77777777" w:rsidR="00297AE2" w:rsidRPr="00461BF0" w:rsidRDefault="00297AE2" w:rsidP="00297AE2">
      <w:pPr>
        <w:jc w:val="both"/>
        <w:rPr>
          <w:rFonts w:ascii="Arial" w:hAnsi="Arial" w:cs="Arial"/>
          <w:noProof/>
          <w:sz w:val="10"/>
          <w:szCs w:val="10"/>
        </w:rPr>
      </w:pPr>
    </w:p>
    <w:p w14:paraId="745EBC53" w14:textId="77777777" w:rsidR="00297AE2" w:rsidRPr="00461BF0" w:rsidRDefault="00297AE2" w:rsidP="00297AE2">
      <w:pPr>
        <w:rPr>
          <w:rFonts w:ascii="Arial" w:hAnsi="Arial" w:cs="Arial"/>
          <w:b/>
        </w:rPr>
      </w:pPr>
    </w:p>
    <w:p w14:paraId="716BBAC7" w14:textId="77777777" w:rsidR="00297AE2" w:rsidRPr="00461BF0" w:rsidRDefault="00297AE2" w:rsidP="00297AE2">
      <w:pPr>
        <w:pStyle w:val="Nadpis1"/>
        <w:spacing w:before="0"/>
      </w:pPr>
      <w:r w:rsidRPr="00461BF0">
        <w:t>Prague Research Forum</w:t>
      </w:r>
    </w:p>
    <w:p w14:paraId="4CE96398" w14:textId="29585BD9" w:rsidR="00297AE2" w:rsidRPr="00461BF0" w:rsidRDefault="00297AE2" w:rsidP="00297AE2">
      <w:pPr>
        <w:jc w:val="both"/>
        <w:outlineLvl w:val="0"/>
        <w:rPr>
          <w:rFonts w:ascii="Arial" w:hAnsi="Arial" w:cs="Arial"/>
          <w:sz w:val="18"/>
          <w:szCs w:val="18"/>
        </w:rPr>
      </w:pPr>
      <w:r w:rsidRPr="00461BF0">
        <w:rPr>
          <w:rFonts w:ascii="Arial" w:hAnsi="Arial" w:cs="Arial"/>
          <w:sz w:val="18"/>
          <w:szCs w:val="18"/>
        </w:rPr>
        <w:t xml:space="preserve">The minimum requirements for inclusion into modern office stock of either Class A or Class </w:t>
      </w:r>
      <w:r w:rsidR="008276A9" w:rsidRPr="00461BF0">
        <w:rPr>
          <w:rFonts w:ascii="Arial" w:hAnsi="Arial" w:cs="Arial"/>
          <w:sz w:val="18"/>
          <w:szCs w:val="18"/>
        </w:rPr>
        <w:t>B include</w:t>
      </w:r>
      <w:r w:rsidRPr="00461BF0">
        <w:rPr>
          <w:rFonts w:ascii="Arial" w:hAnsi="Arial" w:cs="Arial"/>
          <w:sz w:val="18"/>
          <w:szCs w:val="18"/>
        </w:rPr>
        <w:t>:</w:t>
      </w:r>
    </w:p>
    <w:p w14:paraId="309EAF70" w14:textId="77777777" w:rsidR="00297AE2" w:rsidRPr="00461BF0" w:rsidRDefault="00297AE2" w:rsidP="00297AE2">
      <w:pPr>
        <w:pStyle w:val="Odstavecseseznamem"/>
        <w:numPr>
          <w:ilvl w:val="0"/>
          <w:numId w:val="1"/>
        </w:numPr>
        <w:jc w:val="both"/>
        <w:outlineLvl w:val="0"/>
        <w:rPr>
          <w:rFonts w:ascii="Arial" w:hAnsi="Arial" w:cs="Arial"/>
          <w:sz w:val="18"/>
          <w:szCs w:val="18"/>
        </w:rPr>
      </w:pPr>
      <w:r w:rsidRPr="00461BF0">
        <w:rPr>
          <w:rFonts w:ascii="Arial" w:hAnsi="Arial" w:cs="Arial"/>
          <w:sz w:val="18"/>
          <w:szCs w:val="18"/>
        </w:rPr>
        <w:t>The building was built or refurbished after 1990</w:t>
      </w:r>
    </w:p>
    <w:p w14:paraId="52BD20C5" w14:textId="77777777" w:rsidR="00297AE2" w:rsidRPr="00461BF0" w:rsidRDefault="00297AE2" w:rsidP="00297AE2">
      <w:pPr>
        <w:pStyle w:val="Odstavecseseznamem"/>
        <w:numPr>
          <w:ilvl w:val="0"/>
          <w:numId w:val="1"/>
        </w:numPr>
        <w:jc w:val="both"/>
        <w:outlineLvl w:val="0"/>
        <w:rPr>
          <w:rFonts w:ascii="Arial" w:hAnsi="Arial" w:cs="Arial"/>
          <w:sz w:val="18"/>
          <w:szCs w:val="18"/>
        </w:rPr>
      </w:pPr>
      <w:r w:rsidRPr="00461BF0">
        <w:rPr>
          <w:rFonts w:ascii="Arial" w:hAnsi="Arial" w:cs="Arial"/>
          <w:sz w:val="18"/>
          <w:szCs w:val="18"/>
        </w:rPr>
        <w:t>Available units are being advertised in an appropriate way</w:t>
      </w:r>
    </w:p>
    <w:p w14:paraId="3C9F118A" w14:textId="6EB75C1B" w:rsidR="00297AE2" w:rsidRPr="00461BF0" w:rsidRDefault="00297AE2" w:rsidP="00297AE2">
      <w:pPr>
        <w:pStyle w:val="Odstavecseseznamem"/>
        <w:numPr>
          <w:ilvl w:val="0"/>
          <w:numId w:val="1"/>
        </w:numPr>
        <w:jc w:val="both"/>
        <w:outlineLvl w:val="0"/>
        <w:rPr>
          <w:rFonts w:ascii="Arial" w:hAnsi="Arial" w:cs="Arial"/>
          <w:sz w:val="18"/>
          <w:szCs w:val="18"/>
        </w:rPr>
      </w:pPr>
      <w:r w:rsidRPr="00461BF0">
        <w:rPr>
          <w:rFonts w:ascii="Arial" w:hAnsi="Arial" w:cs="Arial"/>
          <w:sz w:val="18"/>
          <w:szCs w:val="18"/>
        </w:rPr>
        <w:t>The GLA of the building exceeds 1,000 sqm</w:t>
      </w:r>
    </w:p>
    <w:p w14:paraId="3D70AB28" w14:textId="77777777" w:rsidR="00297AE2" w:rsidRPr="00461BF0" w:rsidRDefault="00297AE2" w:rsidP="00297AE2">
      <w:pPr>
        <w:rPr>
          <w:rFonts w:ascii="Arial" w:hAnsi="Arial" w:cs="Arial"/>
          <w:b/>
        </w:rPr>
      </w:pPr>
    </w:p>
    <w:p w14:paraId="2662F713" w14:textId="26B3363C" w:rsidR="00297AE2" w:rsidRPr="00461BF0" w:rsidRDefault="00297AE2" w:rsidP="00297AE2">
      <w:pPr>
        <w:rPr>
          <w:rFonts w:ascii="Arial" w:hAnsi="Arial" w:cs="Arial"/>
          <w:b/>
          <w:sz w:val="18"/>
          <w:szCs w:val="18"/>
        </w:rPr>
      </w:pPr>
      <w:r w:rsidRPr="00461BF0">
        <w:rPr>
          <w:rFonts w:ascii="Arial" w:hAnsi="Arial" w:cs="Arial"/>
          <w:b/>
          <w:sz w:val="18"/>
          <w:szCs w:val="18"/>
        </w:rPr>
        <w:t xml:space="preserve">When assessing the property quality, the major categories included are as follows, with </w:t>
      </w:r>
      <w:r w:rsidR="008276A9" w:rsidRPr="00461BF0">
        <w:rPr>
          <w:rFonts w:ascii="Arial" w:hAnsi="Arial" w:cs="Arial"/>
          <w:b/>
          <w:sz w:val="18"/>
          <w:szCs w:val="18"/>
        </w:rPr>
        <w:t xml:space="preserve">a </w:t>
      </w:r>
      <w:r w:rsidRPr="00461BF0">
        <w:rPr>
          <w:rFonts w:ascii="Arial" w:hAnsi="Arial" w:cs="Arial"/>
          <w:b/>
          <w:sz w:val="18"/>
          <w:szCs w:val="18"/>
        </w:rPr>
        <w:t>brief description:</w:t>
      </w:r>
    </w:p>
    <w:p w14:paraId="3DAD49B4" w14:textId="3BA7F3C9" w:rsidR="00297AE2" w:rsidRPr="00461BF0" w:rsidRDefault="00297AE2" w:rsidP="00297AE2">
      <w:pPr>
        <w:pStyle w:val="Odstavecseseznamem"/>
        <w:numPr>
          <w:ilvl w:val="0"/>
          <w:numId w:val="2"/>
        </w:numPr>
        <w:overflowPunct w:val="0"/>
        <w:autoSpaceDE w:val="0"/>
        <w:autoSpaceDN w:val="0"/>
        <w:adjustRightInd w:val="0"/>
        <w:spacing w:after="120"/>
        <w:jc w:val="both"/>
        <w:textAlignment w:val="baseline"/>
        <w:rPr>
          <w:rFonts w:ascii="Arial" w:hAnsi="Arial" w:cs="Arial"/>
          <w:sz w:val="18"/>
          <w:szCs w:val="18"/>
        </w:rPr>
      </w:pPr>
      <w:r w:rsidRPr="00461BF0">
        <w:rPr>
          <w:rFonts w:ascii="Arial" w:hAnsi="Arial" w:cs="Arial"/>
          <w:b/>
          <w:bCs/>
          <w:sz w:val="18"/>
          <w:szCs w:val="18"/>
        </w:rPr>
        <w:t xml:space="preserve">Technical specifications – </w:t>
      </w:r>
      <w:r w:rsidRPr="00461BF0">
        <w:rPr>
          <w:rFonts w:ascii="Arial" w:hAnsi="Arial" w:cs="Arial"/>
          <w:sz w:val="18"/>
          <w:szCs w:val="18"/>
        </w:rPr>
        <w:t xml:space="preserve">how well the </w:t>
      </w:r>
      <w:r w:rsidR="00FF4EF6" w:rsidRPr="00461BF0">
        <w:rPr>
          <w:rFonts w:ascii="Arial" w:hAnsi="Arial" w:cs="Arial"/>
          <w:sz w:val="18"/>
          <w:szCs w:val="18"/>
        </w:rPr>
        <w:t>property is</w:t>
      </w:r>
      <w:r w:rsidRPr="00461BF0">
        <w:rPr>
          <w:rFonts w:ascii="Arial" w:hAnsi="Arial" w:cs="Arial"/>
          <w:sz w:val="18"/>
          <w:szCs w:val="18"/>
        </w:rPr>
        <w:t xml:space="preserve"> built and equipped</w:t>
      </w:r>
    </w:p>
    <w:p w14:paraId="3BF141E7" w14:textId="05C1DCD7" w:rsidR="00297AE2" w:rsidRPr="00461BF0" w:rsidRDefault="00297AE2" w:rsidP="00297AE2">
      <w:pPr>
        <w:pStyle w:val="Odstavecseseznamem"/>
        <w:numPr>
          <w:ilvl w:val="0"/>
          <w:numId w:val="2"/>
        </w:numPr>
        <w:overflowPunct w:val="0"/>
        <w:autoSpaceDE w:val="0"/>
        <w:autoSpaceDN w:val="0"/>
        <w:adjustRightInd w:val="0"/>
        <w:spacing w:after="120"/>
        <w:jc w:val="both"/>
        <w:textAlignment w:val="baseline"/>
        <w:rPr>
          <w:rFonts w:ascii="Arial" w:hAnsi="Arial" w:cs="Arial"/>
          <w:sz w:val="18"/>
          <w:szCs w:val="18"/>
        </w:rPr>
      </w:pPr>
      <w:r w:rsidRPr="00461BF0">
        <w:rPr>
          <w:rFonts w:ascii="Arial" w:hAnsi="Arial" w:cs="Arial"/>
          <w:b/>
          <w:bCs/>
          <w:sz w:val="18"/>
          <w:szCs w:val="18"/>
        </w:rPr>
        <w:t xml:space="preserve">Smart technologies – </w:t>
      </w:r>
      <w:r w:rsidRPr="00461BF0">
        <w:rPr>
          <w:rFonts w:ascii="Arial" w:hAnsi="Arial" w:cs="Arial"/>
          <w:sz w:val="18"/>
          <w:szCs w:val="18"/>
        </w:rPr>
        <w:t>how efficient the buildings are, what smart technologies they use and what extras to “standard” property equipment they offer</w:t>
      </w:r>
    </w:p>
    <w:p w14:paraId="317A07A5" w14:textId="3258A07C" w:rsidR="00297AE2" w:rsidRPr="00461BF0" w:rsidRDefault="00297AE2" w:rsidP="00297AE2">
      <w:pPr>
        <w:pStyle w:val="Odstavecseseznamem"/>
        <w:numPr>
          <w:ilvl w:val="0"/>
          <w:numId w:val="2"/>
        </w:numPr>
        <w:overflowPunct w:val="0"/>
        <w:autoSpaceDE w:val="0"/>
        <w:autoSpaceDN w:val="0"/>
        <w:adjustRightInd w:val="0"/>
        <w:spacing w:after="120"/>
        <w:jc w:val="both"/>
        <w:textAlignment w:val="baseline"/>
        <w:rPr>
          <w:rFonts w:ascii="Arial" w:hAnsi="Arial" w:cs="Arial"/>
          <w:sz w:val="18"/>
          <w:szCs w:val="18"/>
        </w:rPr>
      </w:pPr>
      <w:r w:rsidRPr="00461BF0">
        <w:rPr>
          <w:rFonts w:ascii="Arial" w:hAnsi="Arial" w:cs="Arial"/>
          <w:b/>
          <w:bCs/>
          <w:sz w:val="18"/>
          <w:szCs w:val="18"/>
        </w:rPr>
        <w:t xml:space="preserve">Location – </w:t>
      </w:r>
      <w:r w:rsidRPr="00461BF0">
        <w:rPr>
          <w:rFonts w:ascii="Arial" w:hAnsi="Arial" w:cs="Arial"/>
          <w:sz w:val="18"/>
          <w:szCs w:val="18"/>
        </w:rPr>
        <w:t xml:space="preserve">accessibility, services and amenities in </w:t>
      </w:r>
      <w:r w:rsidR="008276A9" w:rsidRPr="00461BF0">
        <w:rPr>
          <w:rFonts w:ascii="Arial" w:hAnsi="Arial" w:cs="Arial"/>
          <w:sz w:val="18"/>
          <w:szCs w:val="18"/>
        </w:rPr>
        <w:t xml:space="preserve">the </w:t>
      </w:r>
      <w:r w:rsidRPr="00461BF0">
        <w:rPr>
          <w:rFonts w:ascii="Arial" w:hAnsi="Arial" w:cs="Arial"/>
          <w:sz w:val="18"/>
          <w:szCs w:val="18"/>
        </w:rPr>
        <w:t>proximity of the property</w:t>
      </w:r>
    </w:p>
    <w:p w14:paraId="31841EC8" w14:textId="77777777" w:rsidR="00297AE2" w:rsidRPr="00461BF0" w:rsidRDefault="00297AE2" w:rsidP="00297AE2">
      <w:pPr>
        <w:pStyle w:val="Odstavecseseznamem"/>
        <w:numPr>
          <w:ilvl w:val="0"/>
          <w:numId w:val="2"/>
        </w:numPr>
        <w:overflowPunct w:val="0"/>
        <w:autoSpaceDE w:val="0"/>
        <w:autoSpaceDN w:val="0"/>
        <w:adjustRightInd w:val="0"/>
        <w:spacing w:after="120"/>
        <w:jc w:val="both"/>
        <w:textAlignment w:val="baseline"/>
        <w:rPr>
          <w:rFonts w:ascii="Arial" w:hAnsi="Arial" w:cs="Arial"/>
          <w:sz w:val="18"/>
          <w:szCs w:val="18"/>
        </w:rPr>
      </w:pPr>
      <w:r w:rsidRPr="00461BF0">
        <w:rPr>
          <w:rFonts w:ascii="Arial" w:hAnsi="Arial" w:cs="Arial"/>
          <w:b/>
          <w:bCs/>
          <w:sz w:val="18"/>
          <w:szCs w:val="18"/>
        </w:rPr>
        <w:t>Service and security –</w:t>
      </w:r>
      <w:r w:rsidRPr="00461BF0">
        <w:rPr>
          <w:rFonts w:ascii="Arial" w:hAnsi="Arial" w:cs="Arial"/>
          <w:sz w:val="18"/>
          <w:szCs w:val="18"/>
        </w:rPr>
        <w:t xml:space="preserve"> how safe the building is and how it is managed</w:t>
      </w:r>
    </w:p>
    <w:p w14:paraId="349DB054" w14:textId="77777777" w:rsidR="00297AE2" w:rsidRPr="00461BF0" w:rsidRDefault="00297AE2" w:rsidP="00297AE2">
      <w:pPr>
        <w:pStyle w:val="Odstavecseseznamem"/>
        <w:numPr>
          <w:ilvl w:val="0"/>
          <w:numId w:val="2"/>
        </w:numPr>
        <w:overflowPunct w:val="0"/>
        <w:autoSpaceDE w:val="0"/>
        <w:autoSpaceDN w:val="0"/>
        <w:adjustRightInd w:val="0"/>
        <w:spacing w:after="120"/>
        <w:jc w:val="both"/>
        <w:textAlignment w:val="baseline"/>
        <w:rPr>
          <w:rFonts w:ascii="Arial" w:hAnsi="Arial" w:cs="Arial"/>
          <w:sz w:val="18"/>
          <w:szCs w:val="18"/>
        </w:rPr>
      </w:pPr>
      <w:r w:rsidRPr="00461BF0">
        <w:rPr>
          <w:rFonts w:ascii="Arial" w:hAnsi="Arial" w:cs="Arial"/>
          <w:b/>
          <w:bCs/>
          <w:sz w:val="18"/>
          <w:szCs w:val="18"/>
        </w:rPr>
        <w:t>Parking –</w:t>
      </w:r>
      <w:r w:rsidRPr="00461BF0">
        <w:rPr>
          <w:rFonts w:ascii="Arial" w:hAnsi="Arial" w:cs="Arial"/>
          <w:sz w:val="18"/>
          <w:szCs w:val="18"/>
        </w:rPr>
        <w:t xml:space="preserve"> parking ratios, with different requirements for properties in the city centre, inner city and outer city</w:t>
      </w:r>
    </w:p>
    <w:p w14:paraId="20825FE8" w14:textId="77777777" w:rsidR="00297AE2" w:rsidRPr="00461BF0" w:rsidRDefault="00297AE2" w:rsidP="00297AE2">
      <w:pPr>
        <w:pStyle w:val="Odstavecseseznamem"/>
        <w:numPr>
          <w:ilvl w:val="0"/>
          <w:numId w:val="2"/>
        </w:numPr>
        <w:overflowPunct w:val="0"/>
        <w:autoSpaceDE w:val="0"/>
        <w:autoSpaceDN w:val="0"/>
        <w:adjustRightInd w:val="0"/>
        <w:spacing w:after="120"/>
        <w:jc w:val="both"/>
        <w:textAlignment w:val="baseline"/>
        <w:rPr>
          <w:rFonts w:ascii="Arial" w:hAnsi="Arial" w:cs="Arial"/>
          <w:sz w:val="18"/>
          <w:szCs w:val="18"/>
        </w:rPr>
      </w:pPr>
      <w:r w:rsidRPr="00461BF0">
        <w:rPr>
          <w:rFonts w:ascii="Arial" w:hAnsi="Arial" w:cs="Arial"/>
          <w:b/>
          <w:bCs/>
          <w:sz w:val="18"/>
          <w:szCs w:val="18"/>
        </w:rPr>
        <w:t>Age of building –</w:t>
      </w:r>
      <w:r w:rsidRPr="00461BF0">
        <w:rPr>
          <w:rFonts w:ascii="Arial" w:hAnsi="Arial" w:cs="Arial"/>
          <w:sz w:val="18"/>
          <w:szCs w:val="18"/>
        </w:rPr>
        <w:t xml:space="preserve"> building completion or the latest refurbishment date</w:t>
      </w:r>
    </w:p>
    <w:p w14:paraId="44A61582" w14:textId="77777777" w:rsidR="00297AE2" w:rsidRPr="00461BF0" w:rsidRDefault="00297AE2" w:rsidP="00297AE2">
      <w:pPr>
        <w:pStyle w:val="Odstavecseseznamem"/>
        <w:numPr>
          <w:ilvl w:val="0"/>
          <w:numId w:val="2"/>
        </w:numPr>
        <w:overflowPunct w:val="0"/>
        <w:autoSpaceDE w:val="0"/>
        <w:autoSpaceDN w:val="0"/>
        <w:adjustRightInd w:val="0"/>
        <w:spacing w:after="120"/>
        <w:jc w:val="both"/>
        <w:textAlignment w:val="baseline"/>
        <w:rPr>
          <w:rFonts w:ascii="Arial" w:eastAsia="Arial" w:hAnsi="Arial" w:cs="Arial"/>
          <w:sz w:val="18"/>
          <w:szCs w:val="18"/>
        </w:rPr>
      </w:pPr>
      <w:r w:rsidRPr="00461BF0">
        <w:rPr>
          <w:rFonts w:ascii="Arial" w:hAnsi="Arial" w:cs="Arial"/>
          <w:b/>
          <w:bCs/>
          <w:sz w:val="18"/>
          <w:szCs w:val="18"/>
        </w:rPr>
        <w:t>Subjective evaluation –</w:t>
      </w:r>
      <w:r w:rsidRPr="00461BF0">
        <w:rPr>
          <w:rFonts w:ascii="Arial" w:hAnsi="Arial" w:cs="Arial"/>
          <w:sz w:val="18"/>
          <w:szCs w:val="18"/>
        </w:rPr>
        <w:t xml:space="preserve"> subjective assessment by Prague Research Forum members</w:t>
      </w:r>
    </w:p>
    <w:p w14:paraId="3293E7FB" w14:textId="77777777" w:rsidR="00297AE2" w:rsidRPr="00461BF0" w:rsidRDefault="00297AE2" w:rsidP="00297AE2">
      <w:pPr>
        <w:overflowPunct w:val="0"/>
        <w:autoSpaceDE w:val="0"/>
        <w:autoSpaceDN w:val="0"/>
        <w:adjustRightInd w:val="0"/>
        <w:spacing w:after="120"/>
        <w:jc w:val="both"/>
        <w:textAlignment w:val="baseline"/>
        <w:rPr>
          <w:rFonts w:ascii="Arial" w:hAnsi="Arial" w:cs="Arial"/>
          <w:bCs/>
        </w:rPr>
      </w:pPr>
    </w:p>
    <w:p w14:paraId="6F375429" w14:textId="55F961E7" w:rsidR="00297AE2" w:rsidRPr="00461BF0" w:rsidRDefault="00297AE2" w:rsidP="00297AE2">
      <w:pPr>
        <w:overflowPunct w:val="0"/>
        <w:autoSpaceDE w:val="0"/>
        <w:autoSpaceDN w:val="0"/>
        <w:adjustRightInd w:val="0"/>
        <w:spacing w:after="120"/>
        <w:jc w:val="both"/>
        <w:textAlignment w:val="baseline"/>
        <w:rPr>
          <w:rFonts w:ascii="Arial" w:hAnsi="Arial" w:cs="Arial"/>
          <w:bCs/>
          <w:sz w:val="18"/>
          <w:szCs w:val="18"/>
        </w:rPr>
      </w:pPr>
      <w:r w:rsidRPr="00461BF0">
        <w:rPr>
          <w:rFonts w:ascii="Arial" w:hAnsi="Arial" w:cs="Arial"/>
          <w:bCs/>
          <w:sz w:val="18"/>
          <w:szCs w:val="18"/>
        </w:rPr>
        <w:t xml:space="preserve">Each of the criteria has subcategories, which enable </w:t>
      </w:r>
      <w:r w:rsidR="00747E88" w:rsidRPr="00461BF0">
        <w:rPr>
          <w:rFonts w:ascii="Arial" w:hAnsi="Arial" w:cs="Arial"/>
          <w:bCs/>
          <w:sz w:val="18"/>
          <w:szCs w:val="18"/>
        </w:rPr>
        <w:t xml:space="preserve">the </w:t>
      </w:r>
      <w:r w:rsidRPr="00461BF0">
        <w:rPr>
          <w:rFonts w:ascii="Arial" w:hAnsi="Arial" w:cs="Arial"/>
          <w:bCs/>
          <w:sz w:val="18"/>
          <w:szCs w:val="18"/>
        </w:rPr>
        <w:t xml:space="preserve">scoring of the properties, resulting in </w:t>
      </w:r>
      <w:r w:rsidR="008276A9" w:rsidRPr="00461BF0">
        <w:rPr>
          <w:rFonts w:ascii="Arial" w:hAnsi="Arial" w:cs="Arial"/>
          <w:bCs/>
          <w:sz w:val="18"/>
          <w:szCs w:val="18"/>
        </w:rPr>
        <w:t xml:space="preserve">the </w:t>
      </w:r>
      <w:r w:rsidRPr="00461BF0">
        <w:rPr>
          <w:rFonts w:ascii="Arial" w:hAnsi="Arial" w:cs="Arial"/>
          <w:bCs/>
          <w:sz w:val="18"/>
          <w:szCs w:val="18"/>
        </w:rPr>
        <w:t xml:space="preserve">final score of the property. </w:t>
      </w:r>
      <w:r w:rsidR="008276A9" w:rsidRPr="00461BF0">
        <w:rPr>
          <w:rFonts w:ascii="Arial" w:hAnsi="Arial" w:cs="Arial"/>
          <w:bCs/>
          <w:sz w:val="18"/>
          <w:szCs w:val="18"/>
        </w:rPr>
        <w:t xml:space="preserve">The maximum </w:t>
      </w:r>
      <w:r w:rsidRPr="00461BF0">
        <w:rPr>
          <w:rFonts w:ascii="Arial" w:hAnsi="Arial" w:cs="Arial"/>
          <w:bCs/>
          <w:sz w:val="18"/>
          <w:szCs w:val="18"/>
        </w:rPr>
        <w:t xml:space="preserve">weight of each category is as follows: </w:t>
      </w:r>
    </w:p>
    <w:tbl>
      <w:tblPr>
        <w:tblStyle w:val="Prosttabulka5"/>
        <w:tblW w:w="4860" w:type="dxa"/>
        <w:tblLook w:val="04A0" w:firstRow="1" w:lastRow="0" w:firstColumn="1" w:lastColumn="0" w:noHBand="0" w:noVBand="1"/>
      </w:tblPr>
      <w:tblGrid>
        <w:gridCol w:w="3150"/>
        <w:gridCol w:w="1710"/>
      </w:tblGrid>
      <w:tr w:rsidR="00297AE2" w:rsidRPr="00461BF0" w14:paraId="77A5C013" w14:textId="77777777" w:rsidTr="00D21538">
        <w:trPr>
          <w:cnfStyle w:val="100000000000" w:firstRow="1" w:lastRow="0" w:firstColumn="0" w:lastColumn="0" w:oddVBand="0" w:evenVBand="0" w:oddHBand="0" w:evenHBand="0" w:firstRowFirstColumn="0" w:firstRowLastColumn="0" w:lastRowFirstColumn="0" w:lastRowLastColumn="0"/>
          <w:trHeight w:val="255"/>
        </w:trPr>
        <w:tc>
          <w:tcPr>
            <w:cnfStyle w:val="001000000100" w:firstRow="0" w:lastRow="0" w:firstColumn="1" w:lastColumn="0" w:oddVBand="0" w:evenVBand="0" w:oddHBand="0" w:evenHBand="0" w:firstRowFirstColumn="1" w:firstRowLastColumn="0" w:lastRowFirstColumn="0" w:lastRowLastColumn="0"/>
            <w:tcW w:w="3150" w:type="dxa"/>
            <w:noWrap/>
            <w:hideMark/>
          </w:tcPr>
          <w:p w14:paraId="38A489C7" w14:textId="77777777" w:rsidR="00297AE2" w:rsidRPr="00461BF0" w:rsidRDefault="00297AE2" w:rsidP="00300AF3">
            <w:pPr>
              <w:rPr>
                <w:rFonts w:ascii="Arial" w:eastAsia="Times New Roman" w:hAnsi="Arial" w:cs="Arial"/>
                <w:b/>
                <w:bCs/>
                <w:i w:val="0"/>
                <w:iCs w:val="0"/>
                <w:color w:val="000000"/>
                <w:sz w:val="18"/>
                <w:szCs w:val="18"/>
                <w:lang w:eastAsia="en-GB"/>
              </w:rPr>
            </w:pPr>
            <w:r w:rsidRPr="00461BF0">
              <w:rPr>
                <w:rFonts w:ascii="Arial" w:eastAsia="Times New Roman" w:hAnsi="Arial" w:cs="Arial"/>
                <w:b/>
                <w:bCs/>
                <w:i w:val="0"/>
                <w:iCs w:val="0"/>
                <w:color w:val="000000"/>
                <w:sz w:val="18"/>
                <w:szCs w:val="18"/>
                <w:lang w:eastAsia="en-GB"/>
              </w:rPr>
              <w:t>Category</w:t>
            </w:r>
          </w:p>
        </w:tc>
        <w:tc>
          <w:tcPr>
            <w:tcW w:w="1710" w:type="dxa"/>
            <w:noWrap/>
            <w:hideMark/>
          </w:tcPr>
          <w:p w14:paraId="1B466BE4" w14:textId="77777777" w:rsidR="00297AE2" w:rsidRPr="00461BF0" w:rsidRDefault="00297AE2" w:rsidP="00300AF3">
            <w:pPr>
              <w:jc w:val="right"/>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bCs/>
                <w:i w:val="0"/>
                <w:iCs w:val="0"/>
                <w:color w:val="000000"/>
                <w:sz w:val="18"/>
                <w:szCs w:val="18"/>
                <w:lang w:eastAsia="en-GB"/>
              </w:rPr>
            </w:pPr>
            <w:r w:rsidRPr="00461BF0">
              <w:rPr>
                <w:rFonts w:ascii="Arial" w:eastAsia="Times New Roman" w:hAnsi="Arial" w:cs="Arial"/>
                <w:b/>
                <w:bCs/>
                <w:i w:val="0"/>
                <w:iCs w:val="0"/>
                <w:color w:val="000000"/>
                <w:sz w:val="18"/>
                <w:szCs w:val="18"/>
                <w:lang w:eastAsia="en-GB"/>
              </w:rPr>
              <w:t>Share on total</w:t>
            </w:r>
          </w:p>
        </w:tc>
      </w:tr>
      <w:tr w:rsidR="00297AE2" w:rsidRPr="00461BF0" w14:paraId="51A3557F" w14:textId="77777777" w:rsidTr="00D21538">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3150" w:type="dxa"/>
            <w:noWrap/>
            <w:vAlign w:val="center"/>
            <w:hideMark/>
          </w:tcPr>
          <w:p w14:paraId="2CC68639" w14:textId="77777777" w:rsidR="00297AE2" w:rsidRPr="00461BF0" w:rsidRDefault="00297AE2" w:rsidP="00300AF3">
            <w:pPr>
              <w:spacing w:line="276" w:lineRule="auto"/>
              <w:rPr>
                <w:rFonts w:ascii="Arial" w:eastAsia="Times New Roman" w:hAnsi="Arial" w:cs="Arial"/>
                <w:i w:val="0"/>
                <w:iCs w:val="0"/>
                <w:sz w:val="18"/>
                <w:szCs w:val="18"/>
                <w:lang w:eastAsia="en-GB"/>
              </w:rPr>
            </w:pPr>
            <w:r w:rsidRPr="00461BF0">
              <w:rPr>
                <w:rFonts w:ascii="Arial" w:eastAsia="Times New Roman" w:hAnsi="Arial" w:cs="Arial"/>
                <w:i w:val="0"/>
                <w:iCs w:val="0"/>
                <w:sz w:val="18"/>
                <w:szCs w:val="18"/>
              </w:rPr>
              <w:t>Technical Specifications</w:t>
            </w:r>
          </w:p>
        </w:tc>
        <w:tc>
          <w:tcPr>
            <w:tcW w:w="1710" w:type="dxa"/>
            <w:shd w:val="clear" w:color="auto" w:fill="auto"/>
            <w:noWrap/>
            <w:vAlign w:val="center"/>
            <w:hideMark/>
          </w:tcPr>
          <w:p w14:paraId="57181325" w14:textId="77777777" w:rsidR="00297AE2" w:rsidRPr="00461BF0" w:rsidRDefault="00297AE2" w:rsidP="00300AF3">
            <w:pPr>
              <w:spacing w:line="276" w:lineRule="auto"/>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en-GB"/>
              </w:rPr>
            </w:pPr>
            <w:r w:rsidRPr="00461BF0">
              <w:rPr>
                <w:rFonts w:ascii="Arial" w:hAnsi="Arial" w:cs="Arial"/>
                <w:sz w:val="18"/>
                <w:szCs w:val="18"/>
              </w:rPr>
              <w:t>41%</w:t>
            </w:r>
          </w:p>
        </w:tc>
      </w:tr>
      <w:tr w:rsidR="00297AE2" w:rsidRPr="00461BF0" w14:paraId="56F881F3" w14:textId="77777777" w:rsidTr="00D21538">
        <w:trPr>
          <w:trHeight w:val="255"/>
        </w:trPr>
        <w:tc>
          <w:tcPr>
            <w:cnfStyle w:val="001000000000" w:firstRow="0" w:lastRow="0" w:firstColumn="1" w:lastColumn="0" w:oddVBand="0" w:evenVBand="0" w:oddHBand="0" w:evenHBand="0" w:firstRowFirstColumn="0" w:firstRowLastColumn="0" w:lastRowFirstColumn="0" w:lastRowLastColumn="0"/>
            <w:tcW w:w="3150" w:type="dxa"/>
            <w:noWrap/>
            <w:vAlign w:val="center"/>
            <w:hideMark/>
          </w:tcPr>
          <w:p w14:paraId="0213C7ED" w14:textId="77777777" w:rsidR="00297AE2" w:rsidRPr="00461BF0" w:rsidRDefault="00297AE2" w:rsidP="00300AF3">
            <w:pPr>
              <w:spacing w:line="276" w:lineRule="auto"/>
              <w:rPr>
                <w:rFonts w:ascii="Arial" w:eastAsia="Times New Roman" w:hAnsi="Arial" w:cs="Arial"/>
                <w:i w:val="0"/>
                <w:iCs w:val="0"/>
                <w:sz w:val="18"/>
                <w:szCs w:val="18"/>
                <w:lang w:eastAsia="en-GB"/>
              </w:rPr>
            </w:pPr>
            <w:r w:rsidRPr="00461BF0">
              <w:rPr>
                <w:rFonts w:ascii="Arial" w:hAnsi="Arial" w:cs="Arial"/>
                <w:i w:val="0"/>
                <w:iCs w:val="0"/>
                <w:sz w:val="18"/>
                <w:szCs w:val="18"/>
              </w:rPr>
              <w:t>Smart Technologies</w:t>
            </w:r>
          </w:p>
        </w:tc>
        <w:tc>
          <w:tcPr>
            <w:tcW w:w="1710" w:type="dxa"/>
            <w:noWrap/>
            <w:vAlign w:val="center"/>
            <w:hideMark/>
          </w:tcPr>
          <w:p w14:paraId="4BE979F5" w14:textId="77777777" w:rsidR="00297AE2" w:rsidRPr="00461BF0" w:rsidRDefault="00297AE2" w:rsidP="00300AF3">
            <w:pPr>
              <w:spacing w:line="276" w:lineRule="auto"/>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en-GB"/>
              </w:rPr>
            </w:pPr>
            <w:r w:rsidRPr="00461BF0">
              <w:rPr>
                <w:rFonts w:ascii="Arial" w:hAnsi="Arial" w:cs="Arial"/>
                <w:sz w:val="18"/>
                <w:szCs w:val="18"/>
              </w:rPr>
              <w:t>18%</w:t>
            </w:r>
          </w:p>
        </w:tc>
      </w:tr>
      <w:tr w:rsidR="00297AE2" w:rsidRPr="00461BF0" w14:paraId="35914AB6" w14:textId="77777777" w:rsidTr="00D21538">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3150" w:type="dxa"/>
            <w:noWrap/>
            <w:vAlign w:val="center"/>
            <w:hideMark/>
          </w:tcPr>
          <w:p w14:paraId="169E1EDF" w14:textId="77777777" w:rsidR="00297AE2" w:rsidRPr="00461BF0" w:rsidRDefault="00297AE2" w:rsidP="00300AF3">
            <w:pPr>
              <w:spacing w:line="276" w:lineRule="auto"/>
              <w:rPr>
                <w:rFonts w:ascii="Arial" w:eastAsia="Times New Roman" w:hAnsi="Arial" w:cs="Arial"/>
                <w:i w:val="0"/>
                <w:iCs w:val="0"/>
                <w:sz w:val="18"/>
                <w:szCs w:val="18"/>
                <w:lang w:eastAsia="en-GB"/>
              </w:rPr>
            </w:pPr>
            <w:r w:rsidRPr="00461BF0">
              <w:rPr>
                <w:rFonts w:ascii="Arial" w:hAnsi="Arial" w:cs="Arial"/>
                <w:i w:val="0"/>
                <w:iCs w:val="0"/>
                <w:sz w:val="18"/>
                <w:szCs w:val="18"/>
              </w:rPr>
              <w:t>Location</w:t>
            </w:r>
          </w:p>
        </w:tc>
        <w:tc>
          <w:tcPr>
            <w:tcW w:w="1710" w:type="dxa"/>
            <w:shd w:val="clear" w:color="auto" w:fill="auto"/>
            <w:noWrap/>
            <w:vAlign w:val="center"/>
            <w:hideMark/>
          </w:tcPr>
          <w:p w14:paraId="4B131173" w14:textId="77777777" w:rsidR="00297AE2" w:rsidRPr="00461BF0" w:rsidRDefault="00297AE2" w:rsidP="00300AF3">
            <w:pPr>
              <w:spacing w:line="276" w:lineRule="auto"/>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en-GB"/>
              </w:rPr>
            </w:pPr>
            <w:r w:rsidRPr="00461BF0">
              <w:rPr>
                <w:rFonts w:ascii="Arial" w:hAnsi="Arial" w:cs="Arial"/>
                <w:sz w:val="18"/>
                <w:szCs w:val="18"/>
              </w:rPr>
              <w:t>9%</w:t>
            </w:r>
          </w:p>
        </w:tc>
      </w:tr>
      <w:tr w:rsidR="00297AE2" w:rsidRPr="00461BF0" w14:paraId="127ACE97" w14:textId="77777777" w:rsidTr="00D21538">
        <w:trPr>
          <w:trHeight w:val="289"/>
        </w:trPr>
        <w:tc>
          <w:tcPr>
            <w:cnfStyle w:val="001000000000" w:firstRow="0" w:lastRow="0" w:firstColumn="1" w:lastColumn="0" w:oddVBand="0" w:evenVBand="0" w:oddHBand="0" w:evenHBand="0" w:firstRowFirstColumn="0" w:firstRowLastColumn="0" w:lastRowFirstColumn="0" w:lastRowLastColumn="0"/>
            <w:tcW w:w="3150" w:type="dxa"/>
            <w:noWrap/>
            <w:vAlign w:val="center"/>
          </w:tcPr>
          <w:p w14:paraId="21EBEB1B" w14:textId="77777777" w:rsidR="00297AE2" w:rsidRPr="00461BF0" w:rsidRDefault="00297AE2" w:rsidP="00300AF3">
            <w:pPr>
              <w:spacing w:line="276" w:lineRule="auto"/>
              <w:rPr>
                <w:rFonts w:ascii="Arial" w:eastAsia="Times New Roman" w:hAnsi="Arial" w:cs="Arial"/>
                <w:i w:val="0"/>
                <w:iCs w:val="0"/>
                <w:sz w:val="18"/>
                <w:szCs w:val="18"/>
                <w:lang w:eastAsia="en-GB"/>
              </w:rPr>
            </w:pPr>
            <w:r w:rsidRPr="00461BF0">
              <w:rPr>
                <w:rFonts w:ascii="Arial" w:eastAsia="Times New Roman" w:hAnsi="Arial" w:cs="Arial"/>
                <w:i w:val="0"/>
                <w:iCs w:val="0"/>
                <w:sz w:val="18"/>
                <w:szCs w:val="18"/>
                <w:lang w:eastAsia="en-GB"/>
              </w:rPr>
              <w:t>Service &amp; Security</w:t>
            </w:r>
          </w:p>
        </w:tc>
        <w:tc>
          <w:tcPr>
            <w:tcW w:w="1710" w:type="dxa"/>
            <w:noWrap/>
            <w:vAlign w:val="center"/>
          </w:tcPr>
          <w:p w14:paraId="72A72D1E" w14:textId="77777777" w:rsidR="00297AE2" w:rsidRPr="00461BF0" w:rsidRDefault="00297AE2" w:rsidP="00300AF3">
            <w:pPr>
              <w:spacing w:line="276" w:lineRule="auto"/>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en-GB"/>
              </w:rPr>
            </w:pPr>
            <w:r w:rsidRPr="00461BF0">
              <w:rPr>
                <w:rFonts w:ascii="Arial" w:eastAsia="Times New Roman" w:hAnsi="Arial" w:cs="Arial"/>
                <w:sz w:val="18"/>
                <w:szCs w:val="18"/>
                <w:lang w:eastAsia="en-GB"/>
              </w:rPr>
              <w:t>9%</w:t>
            </w:r>
          </w:p>
        </w:tc>
      </w:tr>
      <w:tr w:rsidR="00297AE2" w:rsidRPr="00461BF0" w14:paraId="5DF9FA5B" w14:textId="77777777" w:rsidTr="00D21538">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3150" w:type="dxa"/>
            <w:noWrap/>
            <w:vAlign w:val="center"/>
          </w:tcPr>
          <w:p w14:paraId="0C541F8C" w14:textId="77777777" w:rsidR="00297AE2" w:rsidRPr="00461BF0" w:rsidRDefault="00297AE2" w:rsidP="00300AF3">
            <w:pPr>
              <w:spacing w:line="276" w:lineRule="auto"/>
              <w:rPr>
                <w:rFonts w:ascii="Arial" w:eastAsia="Times New Roman" w:hAnsi="Arial" w:cs="Arial"/>
                <w:i w:val="0"/>
                <w:iCs w:val="0"/>
                <w:sz w:val="18"/>
                <w:szCs w:val="18"/>
                <w:lang w:eastAsia="en-GB"/>
              </w:rPr>
            </w:pPr>
            <w:r w:rsidRPr="00461BF0">
              <w:rPr>
                <w:rFonts w:ascii="Arial" w:hAnsi="Arial" w:cs="Arial"/>
                <w:i w:val="0"/>
                <w:iCs w:val="0"/>
                <w:sz w:val="18"/>
                <w:szCs w:val="18"/>
              </w:rPr>
              <w:t>Age of Building</w:t>
            </w:r>
          </w:p>
        </w:tc>
        <w:tc>
          <w:tcPr>
            <w:tcW w:w="1710" w:type="dxa"/>
            <w:shd w:val="clear" w:color="auto" w:fill="auto"/>
            <w:noWrap/>
            <w:vAlign w:val="center"/>
          </w:tcPr>
          <w:p w14:paraId="124AE32D" w14:textId="77777777" w:rsidR="00297AE2" w:rsidRPr="00461BF0" w:rsidRDefault="00297AE2" w:rsidP="00300AF3">
            <w:pPr>
              <w:spacing w:line="276" w:lineRule="auto"/>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en-GB"/>
              </w:rPr>
            </w:pPr>
            <w:r w:rsidRPr="00461BF0">
              <w:rPr>
                <w:rFonts w:ascii="Arial" w:hAnsi="Arial" w:cs="Arial"/>
                <w:sz w:val="18"/>
                <w:szCs w:val="18"/>
              </w:rPr>
              <w:t>8%</w:t>
            </w:r>
          </w:p>
        </w:tc>
      </w:tr>
      <w:tr w:rsidR="00297AE2" w:rsidRPr="00461BF0" w14:paraId="379DEF2B" w14:textId="77777777" w:rsidTr="00D21538">
        <w:trPr>
          <w:trHeight w:val="255"/>
        </w:trPr>
        <w:tc>
          <w:tcPr>
            <w:cnfStyle w:val="001000000000" w:firstRow="0" w:lastRow="0" w:firstColumn="1" w:lastColumn="0" w:oddVBand="0" w:evenVBand="0" w:oddHBand="0" w:evenHBand="0" w:firstRowFirstColumn="0" w:firstRowLastColumn="0" w:lastRowFirstColumn="0" w:lastRowLastColumn="0"/>
            <w:tcW w:w="3150" w:type="dxa"/>
            <w:noWrap/>
            <w:vAlign w:val="center"/>
          </w:tcPr>
          <w:p w14:paraId="5A065A10" w14:textId="77777777" w:rsidR="00297AE2" w:rsidRPr="00461BF0" w:rsidRDefault="00297AE2" w:rsidP="00300AF3">
            <w:pPr>
              <w:spacing w:line="276" w:lineRule="auto"/>
              <w:rPr>
                <w:rFonts w:ascii="Arial" w:eastAsia="Times New Roman" w:hAnsi="Arial" w:cs="Arial"/>
                <w:i w:val="0"/>
                <w:iCs w:val="0"/>
                <w:sz w:val="18"/>
                <w:szCs w:val="18"/>
                <w:lang w:eastAsia="en-GB"/>
              </w:rPr>
            </w:pPr>
            <w:r w:rsidRPr="00461BF0">
              <w:rPr>
                <w:rFonts w:ascii="Arial" w:hAnsi="Arial" w:cs="Arial"/>
                <w:i w:val="0"/>
                <w:iCs w:val="0"/>
                <w:sz w:val="18"/>
                <w:szCs w:val="18"/>
              </w:rPr>
              <w:t>Parking</w:t>
            </w:r>
          </w:p>
        </w:tc>
        <w:tc>
          <w:tcPr>
            <w:tcW w:w="1710" w:type="dxa"/>
            <w:noWrap/>
            <w:vAlign w:val="center"/>
          </w:tcPr>
          <w:p w14:paraId="40B9EBF5" w14:textId="77777777" w:rsidR="00297AE2" w:rsidRPr="00461BF0" w:rsidRDefault="00297AE2" w:rsidP="00300AF3">
            <w:pPr>
              <w:spacing w:line="276" w:lineRule="auto"/>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en-GB"/>
              </w:rPr>
            </w:pPr>
            <w:r w:rsidRPr="00461BF0">
              <w:rPr>
                <w:rFonts w:ascii="Arial" w:hAnsi="Arial" w:cs="Arial"/>
                <w:sz w:val="18"/>
                <w:szCs w:val="18"/>
              </w:rPr>
              <w:t>8%</w:t>
            </w:r>
          </w:p>
        </w:tc>
      </w:tr>
      <w:tr w:rsidR="00297AE2" w:rsidRPr="00461BF0" w14:paraId="00FCD900" w14:textId="77777777" w:rsidTr="00D21538">
        <w:trPr>
          <w:cnfStyle w:val="000000100000" w:firstRow="0" w:lastRow="0" w:firstColumn="0" w:lastColumn="0" w:oddVBand="0" w:evenVBand="0" w:oddHBand="1" w:evenHBand="0" w:firstRowFirstColumn="0" w:firstRowLastColumn="0" w:lastRowFirstColumn="0" w:lastRowLastColumn="0"/>
          <w:trHeight w:val="207"/>
        </w:trPr>
        <w:tc>
          <w:tcPr>
            <w:cnfStyle w:val="001000000000" w:firstRow="0" w:lastRow="0" w:firstColumn="1" w:lastColumn="0" w:oddVBand="0" w:evenVBand="0" w:oddHBand="0" w:evenHBand="0" w:firstRowFirstColumn="0" w:firstRowLastColumn="0" w:lastRowFirstColumn="0" w:lastRowLastColumn="0"/>
            <w:tcW w:w="3150" w:type="dxa"/>
            <w:noWrap/>
            <w:vAlign w:val="center"/>
            <w:hideMark/>
          </w:tcPr>
          <w:p w14:paraId="40ED244E" w14:textId="77777777" w:rsidR="00297AE2" w:rsidRPr="00461BF0" w:rsidRDefault="00297AE2" w:rsidP="00300AF3">
            <w:pPr>
              <w:spacing w:line="276" w:lineRule="auto"/>
              <w:rPr>
                <w:rFonts w:ascii="Arial" w:eastAsia="Times New Roman" w:hAnsi="Arial" w:cs="Arial"/>
                <w:i w:val="0"/>
                <w:iCs w:val="0"/>
                <w:sz w:val="18"/>
                <w:szCs w:val="18"/>
                <w:lang w:eastAsia="en-GB"/>
              </w:rPr>
            </w:pPr>
            <w:r w:rsidRPr="00461BF0">
              <w:rPr>
                <w:rFonts w:ascii="Arial" w:hAnsi="Arial" w:cs="Arial"/>
                <w:i w:val="0"/>
                <w:iCs w:val="0"/>
                <w:sz w:val="18"/>
                <w:szCs w:val="18"/>
              </w:rPr>
              <w:t>Subjective Evaluation</w:t>
            </w:r>
          </w:p>
        </w:tc>
        <w:tc>
          <w:tcPr>
            <w:tcW w:w="1710" w:type="dxa"/>
            <w:shd w:val="clear" w:color="auto" w:fill="auto"/>
            <w:noWrap/>
            <w:vAlign w:val="center"/>
            <w:hideMark/>
          </w:tcPr>
          <w:p w14:paraId="64969C73" w14:textId="77777777" w:rsidR="00297AE2" w:rsidRPr="00461BF0" w:rsidRDefault="00297AE2" w:rsidP="00300AF3">
            <w:pPr>
              <w:spacing w:line="276" w:lineRule="auto"/>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8"/>
                <w:szCs w:val="18"/>
                <w:lang w:eastAsia="en-GB"/>
              </w:rPr>
            </w:pPr>
            <w:r w:rsidRPr="00461BF0">
              <w:rPr>
                <w:rFonts w:ascii="Arial" w:hAnsi="Arial" w:cs="Arial"/>
                <w:sz w:val="18"/>
                <w:szCs w:val="18"/>
              </w:rPr>
              <w:t>7</w:t>
            </w:r>
            <w:r w:rsidRPr="00461BF0">
              <w:rPr>
                <w:rFonts w:ascii="Arial" w:hAnsi="Arial" w:cs="Arial"/>
                <w:b/>
                <w:bCs/>
                <w:sz w:val="18"/>
                <w:szCs w:val="18"/>
              </w:rPr>
              <w:t>%</w:t>
            </w:r>
          </w:p>
        </w:tc>
      </w:tr>
    </w:tbl>
    <w:p w14:paraId="7F1D73B8" w14:textId="77777777" w:rsidR="00297AE2" w:rsidRPr="00461BF0" w:rsidRDefault="00297AE2" w:rsidP="00297AE2">
      <w:pPr>
        <w:overflowPunct w:val="0"/>
        <w:autoSpaceDE w:val="0"/>
        <w:autoSpaceDN w:val="0"/>
        <w:adjustRightInd w:val="0"/>
        <w:spacing w:after="120"/>
        <w:jc w:val="both"/>
        <w:textAlignment w:val="baseline"/>
        <w:rPr>
          <w:rFonts w:ascii="Arial" w:hAnsi="Arial" w:cs="Arial"/>
          <w:bCs/>
          <w:sz w:val="18"/>
          <w:szCs w:val="18"/>
        </w:rPr>
      </w:pPr>
    </w:p>
    <w:p w14:paraId="27ED45D2" w14:textId="77777777" w:rsidR="00297AE2" w:rsidRPr="00461BF0" w:rsidRDefault="00297AE2" w:rsidP="00297AE2">
      <w:pPr>
        <w:pStyle w:val="Nadpis1"/>
        <w:pageBreakBefore/>
        <w:rPr>
          <w:noProof/>
          <w:sz w:val="24"/>
          <w:szCs w:val="22"/>
        </w:rPr>
      </w:pPr>
      <w:r w:rsidRPr="00461BF0">
        <w:rPr>
          <w:noProof/>
        </w:rPr>
        <w:lastRenderedPageBreak/>
        <w:t>Appendix</w:t>
      </w:r>
    </w:p>
    <w:p w14:paraId="549C3E90" w14:textId="77777777" w:rsidR="00297AE2" w:rsidRPr="00461BF0" w:rsidRDefault="00297AE2" w:rsidP="00297AE2">
      <w:pPr>
        <w:jc w:val="both"/>
        <w:outlineLvl w:val="0"/>
        <w:rPr>
          <w:rFonts w:ascii="Arial" w:hAnsi="Arial" w:cs="Arial"/>
          <w:b/>
          <w:noProof/>
          <w:sz w:val="16"/>
          <w:szCs w:val="16"/>
        </w:rPr>
      </w:pPr>
    </w:p>
    <w:p w14:paraId="0918F9C6" w14:textId="77777777" w:rsidR="00297AE2" w:rsidRPr="00461BF0" w:rsidRDefault="00297AE2" w:rsidP="00297AE2">
      <w:pPr>
        <w:jc w:val="both"/>
        <w:outlineLvl w:val="0"/>
        <w:rPr>
          <w:rFonts w:ascii="Arial" w:hAnsi="Arial" w:cs="Arial"/>
          <w:b/>
          <w:noProof/>
          <w:sz w:val="16"/>
          <w:szCs w:val="16"/>
        </w:rPr>
      </w:pPr>
      <w:r w:rsidRPr="00461BF0">
        <w:rPr>
          <w:rFonts w:ascii="Arial" w:hAnsi="Arial" w:cs="Arial"/>
          <w:b/>
          <w:noProof/>
          <w:sz w:val="16"/>
          <w:szCs w:val="16"/>
        </w:rPr>
        <w:t>Definitions:</w:t>
      </w:r>
    </w:p>
    <w:p w14:paraId="1E32E425" w14:textId="77777777" w:rsidR="00297AE2" w:rsidRPr="00461BF0" w:rsidRDefault="00297AE2" w:rsidP="00297AE2">
      <w:pPr>
        <w:jc w:val="both"/>
        <w:outlineLvl w:val="0"/>
        <w:rPr>
          <w:rFonts w:ascii="Arial" w:hAnsi="Arial" w:cs="Arial"/>
          <w:b/>
          <w:noProof/>
          <w:sz w:val="16"/>
          <w:szCs w:val="16"/>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84"/>
        <w:gridCol w:w="6886"/>
      </w:tblGrid>
      <w:tr w:rsidR="00297AE2" w:rsidRPr="00461BF0" w14:paraId="496E6C36" w14:textId="77777777" w:rsidTr="00D21538">
        <w:tc>
          <w:tcPr>
            <w:tcW w:w="2405" w:type="dxa"/>
          </w:tcPr>
          <w:p w14:paraId="2167104C" w14:textId="77777777" w:rsidR="00297AE2" w:rsidRPr="00461BF0" w:rsidRDefault="00297AE2" w:rsidP="00300AF3">
            <w:pPr>
              <w:spacing w:before="120" w:after="120"/>
              <w:jc w:val="right"/>
              <w:outlineLvl w:val="0"/>
              <w:rPr>
                <w:rFonts w:ascii="Arial" w:hAnsi="Arial" w:cs="Arial"/>
                <w:noProof/>
                <w:sz w:val="16"/>
                <w:szCs w:val="16"/>
              </w:rPr>
            </w:pPr>
            <w:r w:rsidRPr="00461BF0">
              <w:rPr>
                <w:rFonts w:ascii="Arial" w:hAnsi="Arial" w:cs="Arial"/>
                <w:b/>
                <w:noProof/>
                <w:sz w:val="16"/>
                <w:szCs w:val="16"/>
              </w:rPr>
              <w:t>Stock:</w:t>
            </w:r>
          </w:p>
        </w:tc>
        <w:tc>
          <w:tcPr>
            <w:tcW w:w="8025" w:type="dxa"/>
          </w:tcPr>
          <w:p w14:paraId="09E8F793" w14:textId="7BD4E624" w:rsidR="00297AE2" w:rsidRPr="00461BF0" w:rsidRDefault="00297AE2" w:rsidP="00300AF3">
            <w:pPr>
              <w:spacing w:before="120" w:after="120"/>
              <w:jc w:val="both"/>
              <w:outlineLvl w:val="0"/>
              <w:rPr>
                <w:rFonts w:ascii="Arial" w:hAnsi="Arial" w:cs="Arial"/>
                <w:noProof/>
                <w:sz w:val="16"/>
                <w:szCs w:val="16"/>
              </w:rPr>
            </w:pPr>
            <w:r w:rsidRPr="00461BF0">
              <w:rPr>
                <w:rFonts w:ascii="Arial" w:hAnsi="Arial" w:cs="Arial"/>
                <w:noProof/>
                <w:sz w:val="16"/>
                <w:szCs w:val="16"/>
              </w:rPr>
              <w:t>Tota</w:t>
            </w:r>
            <w:r w:rsidRPr="00461BF0">
              <w:rPr>
                <w:rFonts w:ascii="Arial" w:hAnsi="Arial" w:cs="Arial"/>
                <w:sz w:val="16"/>
                <w:szCs w:val="16"/>
              </w:rPr>
              <w:t xml:space="preserve">l completed office space (occupied and vacant), newly built since 1990 or refurbished, A and B class offices, owner occupied and for lease. Buildings with </w:t>
            </w:r>
            <w:r w:rsidR="008168F7" w:rsidRPr="00461BF0">
              <w:rPr>
                <w:rFonts w:ascii="Arial" w:hAnsi="Arial" w:cs="Arial"/>
                <w:sz w:val="16"/>
                <w:szCs w:val="16"/>
              </w:rPr>
              <w:t xml:space="preserve">a </w:t>
            </w:r>
            <w:r w:rsidRPr="00461BF0">
              <w:rPr>
                <w:rFonts w:ascii="Arial" w:hAnsi="Arial" w:cs="Arial"/>
                <w:sz w:val="16"/>
                <w:szCs w:val="16"/>
              </w:rPr>
              <w:t>leasable area lower than 1,000 sq m are excluded.</w:t>
            </w:r>
          </w:p>
        </w:tc>
      </w:tr>
      <w:tr w:rsidR="00297AE2" w:rsidRPr="00461BF0" w14:paraId="1C6BE6D7" w14:textId="77777777" w:rsidTr="00D21538">
        <w:tc>
          <w:tcPr>
            <w:tcW w:w="2405" w:type="dxa"/>
          </w:tcPr>
          <w:p w14:paraId="2C3A3B18" w14:textId="77777777" w:rsidR="00297AE2" w:rsidRPr="00461BF0" w:rsidRDefault="00297AE2" w:rsidP="00300AF3">
            <w:pPr>
              <w:spacing w:before="120" w:after="120"/>
              <w:jc w:val="right"/>
              <w:outlineLvl w:val="0"/>
              <w:rPr>
                <w:rFonts w:ascii="Arial" w:hAnsi="Arial" w:cs="Arial"/>
                <w:noProof/>
                <w:sz w:val="16"/>
                <w:szCs w:val="16"/>
              </w:rPr>
            </w:pPr>
            <w:r w:rsidRPr="00461BF0">
              <w:rPr>
                <w:rFonts w:ascii="Arial" w:hAnsi="Arial" w:cs="Arial"/>
                <w:b/>
                <w:noProof/>
                <w:sz w:val="16"/>
                <w:szCs w:val="16"/>
              </w:rPr>
              <w:t>New supply:</w:t>
            </w:r>
          </w:p>
        </w:tc>
        <w:tc>
          <w:tcPr>
            <w:tcW w:w="8025" w:type="dxa"/>
          </w:tcPr>
          <w:p w14:paraId="50F9DBA3" w14:textId="77777777" w:rsidR="00297AE2" w:rsidRPr="00461BF0" w:rsidRDefault="00297AE2" w:rsidP="00300AF3">
            <w:pPr>
              <w:spacing w:before="120" w:after="120"/>
              <w:jc w:val="both"/>
              <w:outlineLvl w:val="0"/>
              <w:rPr>
                <w:rFonts w:ascii="Arial" w:hAnsi="Arial" w:cs="Arial"/>
                <w:noProof/>
                <w:sz w:val="16"/>
                <w:szCs w:val="16"/>
              </w:rPr>
            </w:pPr>
            <w:r w:rsidRPr="00461BF0">
              <w:rPr>
                <w:rFonts w:ascii="Arial" w:hAnsi="Arial" w:cs="Arial"/>
                <w:noProof/>
                <w:sz w:val="16"/>
                <w:szCs w:val="16"/>
              </w:rPr>
              <w:t>Completed newly built or refurbished buildings that obtained a use permit in the given period.</w:t>
            </w:r>
          </w:p>
        </w:tc>
      </w:tr>
      <w:tr w:rsidR="00297AE2" w:rsidRPr="00461BF0" w14:paraId="1BD3875F" w14:textId="77777777" w:rsidTr="00D21538">
        <w:tc>
          <w:tcPr>
            <w:tcW w:w="2405" w:type="dxa"/>
          </w:tcPr>
          <w:p w14:paraId="72838BC9" w14:textId="77777777" w:rsidR="00297AE2" w:rsidRPr="00461BF0" w:rsidRDefault="00297AE2" w:rsidP="00300AF3">
            <w:pPr>
              <w:spacing w:before="120" w:after="120"/>
              <w:jc w:val="right"/>
              <w:outlineLvl w:val="0"/>
              <w:rPr>
                <w:rFonts w:ascii="Arial" w:hAnsi="Arial" w:cs="Arial"/>
                <w:noProof/>
                <w:sz w:val="16"/>
                <w:szCs w:val="16"/>
              </w:rPr>
            </w:pPr>
            <w:r w:rsidRPr="00461BF0">
              <w:rPr>
                <w:rFonts w:ascii="Arial" w:hAnsi="Arial" w:cs="Arial"/>
                <w:b/>
                <w:sz w:val="16"/>
                <w:szCs w:val="16"/>
              </w:rPr>
              <w:t>Take-up:</w:t>
            </w:r>
          </w:p>
        </w:tc>
        <w:tc>
          <w:tcPr>
            <w:tcW w:w="8025" w:type="dxa"/>
          </w:tcPr>
          <w:p w14:paraId="3B969B60" w14:textId="41BA0ECD" w:rsidR="00297AE2" w:rsidRPr="00461BF0" w:rsidRDefault="00297AE2" w:rsidP="00300AF3">
            <w:pPr>
              <w:spacing w:before="120" w:after="120"/>
              <w:jc w:val="both"/>
              <w:outlineLvl w:val="0"/>
              <w:rPr>
                <w:rFonts w:ascii="Arial" w:hAnsi="Arial" w:cs="Arial"/>
                <w:noProof/>
                <w:sz w:val="16"/>
                <w:szCs w:val="16"/>
              </w:rPr>
            </w:pPr>
            <w:r w:rsidRPr="00461BF0">
              <w:rPr>
                <w:rFonts w:ascii="Arial" w:hAnsi="Arial" w:cs="Arial"/>
                <w:sz w:val="16"/>
                <w:szCs w:val="16"/>
              </w:rPr>
              <w:t xml:space="preserve">A gross figure representing the total floor space known to have been let or pre-let, sold or pre-sold to tenants or owner-occupiers over a specified period. It does not include space that is under offer. A property is taken up when the contract is signed. </w:t>
            </w:r>
            <w:r w:rsidR="00747E88" w:rsidRPr="00461BF0">
              <w:rPr>
                <w:rFonts w:ascii="Arial" w:hAnsi="Arial" w:cs="Arial"/>
                <w:sz w:val="16"/>
                <w:szCs w:val="16"/>
              </w:rPr>
              <w:t>Gross</w:t>
            </w:r>
            <w:r w:rsidRPr="00461BF0">
              <w:rPr>
                <w:rFonts w:ascii="Arial" w:hAnsi="Arial" w:cs="Arial"/>
                <w:sz w:val="16"/>
                <w:szCs w:val="16"/>
              </w:rPr>
              <w:t xml:space="preserve"> take-up includes renegotiations, lease extension</w:t>
            </w:r>
            <w:r w:rsidR="00747E88" w:rsidRPr="00461BF0">
              <w:rPr>
                <w:rFonts w:ascii="Arial" w:hAnsi="Arial" w:cs="Arial"/>
                <w:sz w:val="16"/>
                <w:szCs w:val="16"/>
              </w:rPr>
              <w:t>s</w:t>
            </w:r>
            <w:r w:rsidRPr="00461BF0">
              <w:rPr>
                <w:rFonts w:ascii="Arial" w:hAnsi="Arial" w:cs="Arial"/>
                <w:sz w:val="16"/>
                <w:szCs w:val="16"/>
              </w:rPr>
              <w:t xml:space="preserve"> and subleases, net take-up excludes these.</w:t>
            </w:r>
            <w:r w:rsidR="00F04FD7" w:rsidRPr="00461BF0">
              <w:rPr>
                <w:rFonts w:ascii="Arial" w:hAnsi="Arial" w:cs="Arial"/>
                <w:sz w:val="16"/>
                <w:szCs w:val="16"/>
              </w:rPr>
              <w:t xml:space="preserve"> Owner occupation deals are </w:t>
            </w:r>
            <w:r w:rsidR="004074B8" w:rsidRPr="00461BF0">
              <w:rPr>
                <w:rFonts w:ascii="Arial" w:hAnsi="Arial" w:cs="Arial"/>
                <w:sz w:val="16"/>
                <w:szCs w:val="16"/>
              </w:rPr>
              <w:t xml:space="preserve">included in take-up </w:t>
            </w:r>
            <w:r w:rsidR="00AD6056" w:rsidRPr="00461BF0">
              <w:rPr>
                <w:rFonts w:ascii="Arial" w:hAnsi="Arial" w:cs="Arial"/>
                <w:sz w:val="16"/>
                <w:szCs w:val="16"/>
              </w:rPr>
              <w:t>when the project commence</w:t>
            </w:r>
            <w:r w:rsidR="007016E6" w:rsidRPr="00461BF0">
              <w:rPr>
                <w:rFonts w:ascii="Arial" w:hAnsi="Arial" w:cs="Arial"/>
                <w:sz w:val="16"/>
                <w:szCs w:val="16"/>
              </w:rPr>
              <w:t>s</w:t>
            </w:r>
            <w:r w:rsidR="00AD6056" w:rsidRPr="00461BF0">
              <w:rPr>
                <w:rFonts w:ascii="Arial" w:hAnsi="Arial" w:cs="Arial"/>
                <w:sz w:val="16"/>
                <w:szCs w:val="16"/>
              </w:rPr>
              <w:t xml:space="preserve"> construction.</w:t>
            </w:r>
          </w:p>
        </w:tc>
      </w:tr>
      <w:tr w:rsidR="00297AE2" w:rsidRPr="00461BF0" w14:paraId="2300C26A" w14:textId="77777777" w:rsidTr="00D21538">
        <w:tc>
          <w:tcPr>
            <w:tcW w:w="2405" w:type="dxa"/>
          </w:tcPr>
          <w:p w14:paraId="1CFD04A8" w14:textId="77777777" w:rsidR="00297AE2" w:rsidRPr="00461BF0" w:rsidRDefault="00297AE2" w:rsidP="00300AF3">
            <w:pPr>
              <w:spacing w:before="120" w:after="120"/>
              <w:jc w:val="right"/>
              <w:outlineLvl w:val="0"/>
              <w:rPr>
                <w:rFonts w:ascii="Arial" w:hAnsi="Arial" w:cs="Arial"/>
                <w:noProof/>
                <w:sz w:val="16"/>
                <w:szCs w:val="16"/>
              </w:rPr>
            </w:pPr>
            <w:r w:rsidRPr="00461BF0">
              <w:rPr>
                <w:rFonts w:ascii="Arial" w:hAnsi="Arial" w:cs="Arial"/>
                <w:b/>
                <w:noProof/>
                <w:sz w:val="16"/>
                <w:szCs w:val="16"/>
              </w:rPr>
              <w:t>Vacancy rate:</w:t>
            </w:r>
          </w:p>
        </w:tc>
        <w:tc>
          <w:tcPr>
            <w:tcW w:w="8025" w:type="dxa"/>
          </w:tcPr>
          <w:p w14:paraId="31A85CE6" w14:textId="77777777" w:rsidR="00297AE2" w:rsidRPr="00461BF0" w:rsidRDefault="00297AE2" w:rsidP="00300AF3">
            <w:pPr>
              <w:spacing w:before="120" w:after="120"/>
              <w:jc w:val="both"/>
              <w:outlineLvl w:val="0"/>
              <w:rPr>
                <w:rFonts w:ascii="Arial" w:hAnsi="Arial" w:cs="Arial"/>
                <w:noProof/>
                <w:sz w:val="16"/>
                <w:szCs w:val="16"/>
              </w:rPr>
            </w:pPr>
            <w:r w:rsidRPr="00461BF0">
              <w:rPr>
                <w:rFonts w:ascii="Arial" w:hAnsi="Arial" w:cs="Arial"/>
                <w:noProof/>
                <w:sz w:val="16"/>
                <w:szCs w:val="16"/>
              </w:rPr>
              <w:t>Ratio of physically and contractually vacant space in completed buildings on the total stock.</w:t>
            </w:r>
          </w:p>
        </w:tc>
      </w:tr>
      <w:tr w:rsidR="00297AE2" w:rsidRPr="00461BF0" w14:paraId="4C5FD428" w14:textId="77777777" w:rsidTr="00D21538">
        <w:tc>
          <w:tcPr>
            <w:tcW w:w="2405" w:type="dxa"/>
          </w:tcPr>
          <w:p w14:paraId="6F2F34B2" w14:textId="77777777" w:rsidR="00297AE2" w:rsidRPr="00461BF0" w:rsidRDefault="00297AE2" w:rsidP="00300AF3">
            <w:pPr>
              <w:spacing w:before="120" w:after="120"/>
              <w:jc w:val="right"/>
              <w:outlineLvl w:val="0"/>
              <w:rPr>
                <w:rFonts w:ascii="Arial" w:hAnsi="Arial" w:cs="Arial"/>
                <w:noProof/>
                <w:sz w:val="16"/>
                <w:szCs w:val="16"/>
              </w:rPr>
            </w:pPr>
            <w:r w:rsidRPr="00461BF0">
              <w:rPr>
                <w:rFonts w:ascii="Arial" w:hAnsi="Arial" w:cs="Arial"/>
                <w:b/>
                <w:sz w:val="16"/>
                <w:szCs w:val="16"/>
              </w:rPr>
              <w:t>Prime rent:</w:t>
            </w:r>
          </w:p>
        </w:tc>
        <w:tc>
          <w:tcPr>
            <w:tcW w:w="8025" w:type="dxa"/>
          </w:tcPr>
          <w:p w14:paraId="010588DA" w14:textId="712DB6F7" w:rsidR="00297AE2" w:rsidRPr="00461BF0" w:rsidRDefault="00297AE2" w:rsidP="00300AF3">
            <w:pPr>
              <w:spacing w:before="120" w:after="120"/>
              <w:jc w:val="both"/>
              <w:outlineLvl w:val="0"/>
              <w:rPr>
                <w:rFonts w:ascii="Arial" w:hAnsi="Arial" w:cs="Arial"/>
                <w:noProof/>
                <w:sz w:val="16"/>
                <w:szCs w:val="16"/>
              </w:rPr>
            </w:pPr>
            <w:r w:rsidRPr="00461BF0">
              <w:rPr>
                <w:rFonts w:ascii="Arial" w:hAnsi="Arial" w:cs="Arial"/>
                <w:sz w:val="16"/>
                <w:szCs w:val="16"/>
              </w:rPr>
              <w:t xml:space="preserve">Achieved </w:t>
            </w:r>
            <w:r w:rsidR="6DA7890C" w:rsidRPr="00461BF0">
              <w:rPr>
                <w:rFonts w:ascii="Arial" w:hAnsi="Arial" w:cs="Arial"/>
                <w:sz w:val="16"/>
                <w:szCs w:val="16"/>
              </w:rPr>
              <w:t xml:space="preserve">headline </w:t>
            </w:r>
            <w:r w:rsidRPr="00461BF0">
              <w:rPr>
                <w:rFonts w:ascii="Arial" w:hAnsi="Arial" w:cs="Arial"/>
                <w:sz w:val="16"/>
                <w:szCs w:val="16"/>
              </w:rPr>
              <w:t>rents that relate to new prime, high specification units in prime locations. However, there might be exceptional assets on the market, in which higher rent could be achieved.</w:t>
            </w:r>
          </w:p>
        </w:tc>
      </w:tr>
      <w:tr w:rsidR="00297AE2" w:rsidRPr="00461BF0" w14:paraId="4A66ADAC" w14:textId="77777777" w:rsidTr="00D21538">
        <w:tc>
          <w:tcPr>
            <w:tcW w:w="2405" w:type="dxa"/>
          </w:tcPr>
          <w:p w14:paraId="135AEEE2" w14:textId="77777777" w:rsidR="00297AE2" w:rsidRPr="00461BF0" w:rsidRDefault="00297AE2" w:rsidP="00300AF3">
            <w:pPr>
              <w:spacing w:before="120" w:after="120"/>
              <w:jc w:val="right"/>
              <w:outlineLvl w:val="0"/>
              <w:rPr>
                <w:rFonts w:ascii="Arial" w:hAnsi="Arial" w:cs="Arial"/>
                <w:b/>
                <w:sz w:val="16"/>
                <w:szCs w:val="16"/>
              </w:rPr>
            </w:pPr>
            <w:r w:rsidRPr="00461BF0">
              <w:rPr>
                <w:rFonts w:ascii="Arial" w:hAnsi="Arial" w:cs="Arial"/>
                <w:b/>
                <w:sz w:val="16"/>
                <w:szCs w:val="16"/>
              </w:rPr>
              <w:t>Sublease:</w:t>
            </w:r>
          </w:p>
        </w:tc>
        <w:tc>
          <w:tcPr>
            <w:tcW w:w="8025" w:type="dxa"/>
          </w:tcPr>
          <w:p w14:paraId="228B05B5" w14:textId="3F3373F1" w:rsidR="00297AE2" w:rsidRPr="00461BF0" w:rsidRDefault="00297AE2" w:rsidP="00300AF3">
            <w:pPr>
              <w:spacing w:before="120" w:after="120"/>
              <w:jc w:val="both"/>
              <w:outlineLvl w:val="0"/>
              <w:rPr>
                <w:rFonts w:ascii="Arial" w:hAnsi="Arial" w:cs="Arial"/>
                <w:sz w:val="16"/>
                <w:szCs w:val="16"/>
              </w:rPr>
            </w:pPr>
            <w:r w:rsidRPr="00461BF0">
              <w:rPr>
                <w:rFonts w:ascii="Arial" w:hAnsi="Arial" w:cs="Arial"/>
                <w:sz w:val="16"/>
                <w:szCs w:val="16"/>
              </w:rPr>
              <w:t xml:space="preserve">Space offered for lease by a tenant who is contractually obliged to occupy the premises for </w:t>
            </w:r>
            <w:r w:rsidR="000571D1" w:rsidRPr="00461BF0">
              <w:rPr>
                <w:rFonts w:ascii="Arial" w:hAnsi="Arial" w:cs="Arial"/>
                <w:sz w:val="16"/>
                <w:szCs w:val="16"/>
              </w:rPr>
              <w:t xml:space="preserve">a </w:t>
            </w:r>
            <w:r w:rsidRPr="00461BF0">
              <w:rPr>
                <w:rFonts w:ascii="Arial" w:hAnsi="Arial" w:cs="Arial"/>
                <w:sz w:val="16"/>
                <w:szCs w:val="16"/>
              </w:rPr>
              <w:t>longer period than what they need.</w:t>
            </w:r>
          </w:p>
        </w:tc>
      </w:tr>
      <w:tr w:rsidR="00297AE2" w:rsidRPr="00461BF0" w14:paraId="3AAD024D" w14:textId="77777777" w:rsidTr="00D21538">
        <w:tc>
          <w:tcPr>
            <w:tcW w:w="2405" w:type="dxa"/>
          </w:tcPr>
          <w:p w14:paraId="60216CCF" w14:textId="77777777" w:rsidR="00297AE2" w:rsidRPr="00461BF0" w:rsidRDefault="00297AE2" w:rsidP="00300AF3">
            <w:pPr>
              <w:spacing w:before="120" w:after="120"/>
              <w:jc w:val="right"/>
              <w:outlineLvl w:val="0"/>
              <w:rPr>
                <w:rFonts w:ascii="Arial" w:hAnsi="Arial" w:cs="Arial"/>
                <w:b/>
                <w:sz w:val="16"/>
                <w:szCs w:val="16"/>
              </w:rPr>
            </w:pPr>
            <w:r w:rsidRPr="00461BF0">
              <w:rPr>
                <w:rFonts w:ascii="Arial" w:hAnsi="Arial" w:cs="Arial"/>
                <w:b/>
                <w:sz w:val="16"/>
                <w:szCs w:val="16"/>
              </w:rPr>
              <w:t>Net absorption:</w:t>
            </w:r>
          </w:p>
        </w:tc>
        <w:tc>
          <w:tcPr>
            <w:tcW w:w="8025" w:type="dxa"/>
          </w:tcPr>
          <w:p w14:paraId="7D582C6B" w14:textId="77777777" w:rsidR="00297AE2" w:rsidRPr="00461BF0" w:rsidRDefault="00297AE2" w:rsidP="00300AF3">
            <w:pPr>
              <w:spacing w:before="120" w:after="120"/>
              <w:jc w:val="both"/>
              <w:outlineLvl w:val="0"/>
              <w:rPr>
                <w:rFonts w:ascii="Arial" w:hAnsi="Arial" w:cs="Arial"/>
                <w:sz w:val="16"/>
                <w:szCs w:val="16"/>
              </w:rPr>
            </w:pPr>
            <w:r w:rsidRPr="00461BF0">
              <w:rPr>
                <w:rFonts w:ascii="Arial" w:hAnsi="Arial" w:cs="Arial"/>
                <w:sz w:val="16"/>
                <w:szCs w:val="16"/>
              </w:rPr>
              <w:t>Net absorption reflects the change in occupied office space on the market over a given period. It can be both positive and negative.</w:t>
            </w:r>
          </w:p>
        </w:tc>
      </w:tr>
    </w:tbl>
    <w:p w14:paraId="1A3E2083" w14:textId="77777777" w:rsidR="00297AE2" w:rsidRPr="00461BF0" w:rsidRDefault="00297AE2" w:rsidP="00297AE2">
      <w:pPr>
        <w:jc w:val="both"/>
        <w:outlineLvl w:val="0"/>
        <w:rPr>
          <w:rFonts w:ascii="Arial" w:hAnsi="Arial" w:cs="Arial"/>
          <w:b/>
          <w:bCs/>
          <w:sz w:val="16"/>
          <w:szCs w:val="16"/>
        </w:rPr>
      </w:pPr>
    </w:p>
    <w:p w14:paraId="5C720194" w14:textId="77777777" w:rsidR="00297AE2" w:rsidRPr="00461BF0" w:rsidRDefault="00297AE2" w:rsidP="00297AE2">
      <w:pPr>
        <w:jc w:val="both"/>
        <w:outlineLvl w:val="0"/>
        <w:rPr>
          <w:rFonts w:ascii="Arial" w:hAnsi="Arial" w:cs="Arial"/>
          <w:b/>
          <w:bCs/>
          <w:sz w:val="16"/>
          <w:szCs w:val="16"/>
        </w:rPr>
      </w:pPr>
    </w:p>
    <w:p w14:paraId="1CB36941" w14:textId="77777777" w:rsidR="00297AE2" w:rsidRPr="00461BF0" w:rsidRDefault="00297AE2" w:rsidP="00297AE2">
      <w:pPr>
        <w:jc w:val="both"/>
        <w:outlineLvl w:val="0"/>
        <w:rPr>
          <w:rFonts w:ascii="Arial" w:hAnsi="Arial" w:cs="Arial"/>
          <w:b/>
          <w:bCs/>
          <w:sz w:val="16"/>
          <w:szCs w:val="16"/>
        </w:rPr>
      </w:pPr>
    </w:p>
    <w:p w14:paraId="29D997F7" w14:textId="77777777" w:rsidR="00297AE2" w:rsidRPr="00461BF0" w:rsidRDefault="00297AE2" w:rsidP="00297AE2">
      <w:pPr>
        <w:jc w:val="both"/>
        <w:outlineLvl w:val="0"/>
        <w:rPr>
          <w:rFonts w:ascii="Arial" w:hAnsi="Arial" w:cs="Arial"/>
          <w:b/>
          <w:bCs/>
          <w:sz w:val="16"/>
          <w:szCs w:val="16"/>
        </w:rPr>
      </w:pPr>
    </w:p>
    <w:p w14:paraId="1BA79ECC" w14:textId="77777777" w:rsidR="00297AE2" w:rsidRPr="00461BF0" w:rsidRDefault="00297AE2" w:rsidP="00297AE2">
      <w:pPr>
        <w:jc w:val="both"/>
        <w:outlineLvl w:val="0"/>
        <w:rPr>
          <w:rFonts w:ascii="Arial" w:hAnsi="Arial" w:cs="Arial"/>
          <w:b/>
          <w:bCs/>
          <w:sz w:val="16"/>
          <w:szCs w:val="16"/>
        </w:rPr>
      </w:pPr>
    </w:p>
    <w:p w14:paraId="0883B734" w14:textId="77777777" w:rsidR="00297AE2" w:rsidRPr="00461BF0" w:rsidRDefault="00297AE2" w:rsidP="00297AE2">
      <w:pPr>
        <w:jc w:val="both"/>
        <w:outlineLvl w:val="0"/>
        <w:rPr>
          <w:rFonts w:ascii="Arial" w:hAnsi="Arial" w:cs="Arial"/>
          <w:b/>
          <w:bCs/>
          <w:sz w:val="16"/>
          <w:szCs w:val="16"/>
        </w:rPr>
      </w:pPr>
    </w:p>
    <w:p w14:paraId="4017F71E" w14:textId="77777777" w:rsidR="00297AE2" w:rsidRPr="00461BF0" w:rsidRDefault="00297AE2" w:rsidP="00297AE2">
      <w:pPr>
        <w:jc w:val="both"/>
        <w:outlineLvl w:val="0"/>
        <w:rPr>
          <w:rFonts w:ascii="Arial" w:hAnsi="Arial" w:cs="Arial"/>
          <w:b/>
          <w:bCs/>
          <w:sz w:val="16"/>
          <w:szCs w:val="16"/>
        </w:rPr>
      </w:pPr>
    </w:p>
    <w:p w14:paraId="727020B3" w14:textId="77777777" w:rsidR="00297AE2" w:rsidRPr="00461BF0" w:rsidRDefault="00297AE2" w:rsidP="00297AE2">
      <w:pPr>
        <w:jc w:val="both"/>
        <w:outlineLvl w:val="0"/>
        <w:rPr>
          <w:rFonts w:ascii="Arial" w:hAnsi="Arial" w:cs="Arial"/>
          <w:b/>
          <w:bCs/>
          <w:sz w:val="16"/>
          <w:szCs w:val="16"/>
        </w:rPr>
      </w:pPr>
    </w:p>
    <w:p w14:paraId="52A354F5" w14:textId="77777777" w:rsidR="00297AE2" w:rsidRPr="00461BF0" w:rsidRDefault="00297AE2" w:rsidP="00297AE2">
      <w:pPr>
        <w:jc w:val="both"/>
        <w:outlineLvl w:val="0"/>
        <w:rPr>
          <w:rFonts w:ascii="Arial" w:hAnsi="Arial" w:cs="Arial"/>
          <w:b/>
          <w:bCs/>
          <w:sz w:val="16"/>
          <w:szCs w:val="16"/>
        </w:rPr>
      </w:pPr>
    </w:p>
    <w:p w14:paraId="5EFF246D" w14:textId="77777777" w:rsidR="00297AE2" w:rsidRPr="00461BF0" w:rsidRDefault="00297AE2" w:rsidP="00297AE2">
      <w:pPr>
        <w:jc w:val="both"/>
        <w:outlineLvl w:val="0"/>
        <w:rPr>
          <w:rFonts w:ascii="Arial" w:hAnsi="Arial" w:cs="Arial"/>
          <w:b/>
          <w:bCs/>
          <w:sz w:val="16"/>
          <w:szCs w:val="16"/>
        </w:rPr>
      </w:pPr>
    </w:p>
    <w:p w14:paraId="7D25593D" w14:textId="77777777" w:rsidR="00297AE2" w:rsidRPr="00461BF0" w:rsidRDefault="00297AE2" w:rsidP="00297AE2">
      <w:pPr>
        <w:jc w:val="both"/>
        <w:outlineLvl w:val="0"/>
        <w:rPr>
          <w:rFonts w:ascii="Arial" w:hAnsi="Arial" w:cs="Arial"/>
          <w:b/>
          <w:bCs/>
          <w:sz w:val="16"/>
          <w:szCs w:val="16"/>
        </w:rPr>
      </w:pPr>
    </w:p>
    <w:p w14:paraId="1CDD6BBA" w14:textId="77777777" w:rsidR="00297AE2" w:rsidRPr="00461BF0" w:rsidRDefault="00297AE2" w:rsidP="00297AE2">
      <w:pPr>
        <w:jc w:val="both"/>
        <w:outlineLvl w:val="0"/>
        <w:rPr>
          <w:rFonts w:ascii="Arial" w:hAnsi="Arial" w:cs="Arial"/>
          <w:b/>
          <w:bCs/>
          <w:sz w:val="16"/>
          <w:szCs w:val="16"/>
        </w:rPr>
      </w:pPr>
    </w:p>
    <w:p w14:paraId="757A8E11" w14:textId="77777777" w:rsidR="00297AE2" w:rsidRPr="00461BF0" w:rsidRDefault="00297AE2" w:rsidP="00297AE2">
      <w:pPr>
        <w:jc w:val="both"/>
        <w:outlineLvl w:val="0"/>
        <w:rPr>
          <w:rFonts w:ascii="Arial" w:hAnsi="Arial" w:cs="Arial"/>
          <w:b/>
          <w:bCs/>
          <w:sz w:val="16"/>
          <w:szCs w:val="16"/>
        </w:rPr>
      </w:pPr>
    </w:p>
    <w:p w14:paraId="454AF563" w14:textId="77777777" w:rsidR="00297AE2" w:rsidRPr="00461BF0" w:rsidRDefault="00297AE2" w:rsidP="00297AE2">
      <w:pPr>
        <w:jc w:val="both"/>
        <w:rPr>
          <w:rFonts w:ascii="Arial" w:hAnsi="Arial" w:cs="Arial"/>
          <w:sz w:val="16"/>
          <w:szCs w:val="16"/>
        </w:rPr>
      </w:pPr>
    </w:p>
    <w:p w14:paraId="67B4B4FF" w14:textId="77777777" w:rsidR="00297AE2" w:rsidRPr="00461BF0" w:rsidRDefault="00297AE2" w:rsidP="00297AE2">
      <w:pPr>
        <w:jc w:val="both"/>
        <w:outlineLvl w:val="0"/>
        <w:rPr>
          <w:rFonts w:ascii="Arial" w:hAnsi="Arial" w:cs="Arial"/>
          <w:bCs/>
          <w:color w:val="000000"/>
          <w:sz w:val="16"/>
          <w:szCs w:val="16"/>
        </w:rPr>
      </w:pPr>
    </w:p>
    <w:p w14:paraId="1A909945" w14:textId="77777777" w:rsidR="00297AE2" w:rsidRPr="00461BF0" w:rsidRDefault="00297AE2" w:rsidP="00297AE2">
      <w:pPr>
        <w:jc w:val="both"/>
        <w:outlineLvl w:val="0"/>
        <w:rPr>
          <w:rFonts w:ascii="Arial" w:hAnsi="Arial" w:cs="Arial"/>
          <w:bCs/>
          <w:color w:val="000000"/>
          <w:sz w:val="16"/>
          <w:szCs w:val="16"/>
        </w:rPr>
      </w:pPr>
    </w:p>
    <w:p w14:paraId="38549E7E" w14:textId="77777777" w:rsidR="00297AE2" w:rsidRPr="00461BF0" w:rsidRDefault="00297AE2" w:rsidP="00297AE2">
      <w:pPr>
        <w:jc w:val="both"/>
        <w:outlineLvl w:val="0"/>
        <w:rPr>
          <w:rFonts w:ascii="Arial" w:hAnsi="Arial" w:cs="Arial"/>
          <w:bCs/>
          <w:color w:val="000000"/>
          <w:sz w:val="16"/>
          <w:szCs w:val="16"/>
        </w:rPr>
      </w:pPr>
    </w:p>
    <w:p w14:paraId="21512AFB" w14:textId="77777777" w:rsidR="00297AE2" w:rsidRPr="00461BF0" w:rsidRDefault="00297AE2" w:rsidP="00297AE2">
      <w:pPr>
        <w:jc w:val="both"/>
        <w:outlineLvl w:val="0"/>
        <w:rPr>
          <w:rFonts w:ascii="Arial" w:hAnsi="Arial" w:cs="Arial"/>
          <w:bCs/>
          <w:color w:val="000000"/>
          <w:sz w:val="16"/>
          <w:szCs w:val="16"/>
        </w:rPr>
      </w:pPr>
    </w:p>
    <w:p w14:paraId="41EAA58B" w14:textId="77777777" w:rsidR="00297AE2" w:rsidRPr="00461BF0" w:rsidRDefault="00297AE2" w:rsidP="00297AE2">
      <w:pPr>
        <w:jc w:val="both"/>
        <w:outlineLvl w:val="0"/>
        <w:rPr>
          <w:rFonts w:ascii="Arial" w:hAnsi="Arial" w:cs="Arial"/>
          <w:color w:val="000000"/>
          <w:sz w:val="16"/>
          <w:szCs w:val="16"/>
        </w:rPr>
      </w:pPr>
    </w:p>
    <w:p w14:paraId="61DD8E79" w14:textId="77777777" w:rsidR="00297AE2" w:rsidRPr="00461BF0" w:rsidRDefault="00297AE2" w:rsidP="00297AE2">
      <w:pPr>
        <w:jc w:val="both"/>
        <w:outlineLvl w:val="0"/>
        <w:rPr>
          <w:rFonts w:ascii="Arial" w:hAnsi="Arial" w:cs="Arial"/>
          <w:bCs/>
          <w:color w:val="000000"/>
          <w:sz w:val="16"/>
          <w:szCs w:val="16"/>
        </w:rPr>
      </w:pPr>
    </w:p>
    <w:p w14:paraId="0BAFB504" w14:textId="77777777" w:rsidR="00297AE2" w:rsidRPr="00461BF0" w:rsidRDefault="00297AE2" w:rsidP="00297AE2">
      <w:pPr>
        <w:jc w:val="both"/>
        <w:outlineLvl w:val="0"/>
        <w:rPr>
          <w:rFonts w:ascii="Arial" w:hAnsi="Arial" w:cs="Arial"/>
          <w:bCs/>
          <w:color w:val="000000"/>
          <w:sz w:val="16"/>
          <w:szCs w:val="16"/>
        </w:rPr>
      </w:pPr>
    </w:p>
    <w:p w14:paraId="6EC013FF" w14:textId="77777777" w:rsidR="00297AE2" w:rsidRPr="00461BF0" w:rsidRDefault="00297AE2" w:rsidP="00297AE2">
      <w:pPr>
        <w:jc w:val="both"/>
        <w:outlineLvl w:val="0"/>
        <w:rPr>
          <w:rFonts w:ascii="Arial" w:hAnsi="Arial" w:cs="Arial"/>
          <w:bCs/>
          <w:color w:val="000000"/>
          <w:sz w:val="16"/>
          <w:szCs w:val="16"/>
        </w:rPr>
      </w:pPr>
    </w:p>
    <w:p w14:paraId="59CC0AA8" w14:textId="77777777" w:rsidR="00297AE2" w:rsidRPr="00461BF0" w:rsidRDefault="00297AE2" w:rsidP="00297AE2">
      <w:pPr>
        <w:jc w:val="both"/>
        <w:outlineLvl w:val="0"/>
        <w:rPr>
          <w:rFonts w:ascii="Arial" w:hAnsi="Arial" w:cs="Arial"/>
          <w:color w:val="000000"/>
          <w:sz w:val="16"/>
          <w:szCs w:val="16"/>
        </w:rPr>
      </w:pPr>
    </w:p>
    <w:p w14:paraId="03C1B3F7" w14:textId="77777777" w:rsidR="00297AE2" w:rsidRPr="00461BF0" w:rsidRDefault="00297AE2" w:rsidP="00297AE2">
      <w:pPr>
        <w:jc w:val="both"/>
        <w:outlineLvl w:val="0"/>
        <w:rPr>
          <w:rFonts w:ascii="Arial" w:hAnsi="Arial" w:cs="Arial"/>
          <w:color w:val="000000" w:themeColor="text1"/>
          <w:sz w:val="16"/>
          <w:szCs w:val="16"/>
        </w:rPr>
      </w:pPr>
    </w:p>
    <w:p w14:paraId="3921B18B" w14:textId="77777777" w:rsidR="00297AE2" w:rsidRPr="00461BF0" w:rsidRDefault="00297AE2" w:rsidP="00297AE2">
      <w:pPr>
        <w:jc w:val="both"/>
        <w:outlineLvl w:val="0"/>
        <w:rPr>
          <w:rFonts w:ascii="Arial" w:hAnsi="Arial" w:cs="Arial"/>
          <w:color w:val="000000" w:themeColor="text1"/>
          <w:sz w:val="16"/>
          <w:szCs w:val="16"/>
        </w:rPr>
      </w:pPr>
    </w:p>
    <w:p w14:paraId="5CA4FEC8" w14:textId="77777777" w:rsidR="00297AE2" w:rsidRPr="00461BF0" w:rsidRDefault="00297AE2" w:rsidP="00297AE2">
      <w:pPr>
        <w:jc w:val="both"/>
        <w:outlineLvl w:val="0"/>
        <w:rPr>
          <w:rFonts w:ascii="Arial" w:hAnsi="Arial" w:cs="Arial"/>
          <w:color w:val="000000" w:themeColor="text1"/>
          <w:sz w:val="16"/>
          <w:szCs w:val="16"/>
        </w:rPr>
      </w:pPr>
    </w:p>
    <w:p w14:paraId="40CF1DF7" w14:textId="77777777" w:rsidR="00297AE2" w:rsidRPr="00461BF0" w:rsidRDefault="00297AE2" w:rsidP="00297AE2">
      <w:pPr>
        <w:jc w:val="both"/>
        <w:outlineLvl w:val="0"/>
        <w:rPr>
          <w:rFonts w:ascii="Arial" w:hAnsi="Arial" w:cs="Arial"/>
          <w:color w:val="000000" w:themeColor="text1"/>
          <w:sz w:val="16"/>
          <w:szCs w:val="16"/>
        </w:rPr>
      </w:pPr>
    </w:p>
    <w:p w14:paraId="64BD685E" w14:textId="77777777" w:rsidR="00297AE2" w:rsidRPr="00461BF0" w:rsidRDefault="00297AE2" w:rsidP="00297AE2">
      <w:pPr>
        <w:jc w:val="both"/>
        <w:outlineLvl w:val="0"/>
        <w:rPr>
          <w:rFonts w:ascii="Arial" w:hAnsi="Arial" w:cs="Arial"/>
          <w:color w:val="000000" w:themeColor="text1"/>
          <w:sz w:val="16"/>
          <w:szCs w:val="16"/>
        </w:rPr>
      </w:pPr>
    </w:p>
    <w:p w14:paraId="5159BD9B" w14:textId="77777777" w:rsidR="00297AE2" w:rsidRPr="00461BF0" w:rsidRDefault="00297AE2" w:rsidP="00297AE2">
      <w:pPr>
        <w:jc w:val="both"/>
        <w:outlineLvl w:val="0"/>
        <w:rPr>
          <w:rFonts w:ascii="Arial" w:hAnsi="Arial" w:cs="Arial"/>
          <w:bCs/>
          <w:color w:val="000000"/>
          <w:sz w:val="16"/>
          <w:szCs w:val="16"/>
        </w:rPr>
      </w:pPr>
    </w:p>
    <w:p w14:paraId="7ACBCCE1" w14:textId="77777777" w:rsidR="00297AE2" w:rsidRPr="00461BF0" w:rsidRDefault="00297AE2" w:rsidP="00297AE2">
      <w:pPr>
        <w:jc w:val="both"/>
        <w:outlineLvl w:val="0"/>
        <w:rPr>
          <w:rFonts w:ascii="Arial" w:hAnsi="Arial" w:cs="Arial"/>
          <w:bCs/>
          <w:color w:val="000000"/>
          <w:sz w:val="16"/>
          <w:szCs w:val="16"/>
        </w:rPr>
      </w:pPr>
    </w:p>
    <w:p w14:paraId="777FD151" w14:textId="77777777" w:rsidR="00297AE2" w:rsidRPr="00461BF0" w:rsidRDefault="00297AE2" w:rsidP="00297AE2">
      <w:pPr>
        <w:jc w:val="both"/>
        <w:outlineLvl w:val="0"/>
        <w:rPr>
          <w:rFonts w:ascii="Arial" w:hAnsi="Arial" w:cs="Arial"/>
          <w:bCs/>
          <w:color w:val="000000"/>
          <w:sz w:val="16"/>
          <w:szCs w:val="16"/>
        </w:rPr>
      </w:pPr>
    </w:p>
    <w:p w14:paraId="7D8DFABF" w14:textId="77777777" w:rsidR="00297AE2" w:rsidRPr="00461BF0" w:rsidRDefault="00297AE2" w:rsidP="00297AE2">
      <w:pPr>
        <w:jc w:val="both"/>
        <w:outlineLvl w:val="0"/>
        <w:rPr>
          <w:rFonts w:ascii="Arial" w:hAnsi="Arial" w:cs="Arial"/>
          <w:bCs/>
          <w:color w:val="000000"/>
          <w:sz w:val="16"/>
          <w:szCs w:val="16"/>
        </w:rPr>
      </w:pPr>
    </w:p>
    <w:p w14:paraId="4AD967FF" w14:textId="49BF192C" w:rsidR="00297AE2" w:rsidRPr="00461BF0" w:rsidRDefault="00297AE2" w:rsidP="00297AE2">
      <w:pPr>
        <w:autoSpaceDE w:val="0"/>
        <w:autoSpaceDN w:val="0"/>
        <w:spacing w:after="20"/>
        <w:jc w:val="both"/>
        <w:rPr>
          <w:rFonts w:ascii="Arial" w:hAnsi="Arial" w:cs="Arial"/>
          <w:b/>
          <w:bCs/>
          <w:sz w:val="16"/>
          <w:szCs w:val="16"/>
        </w:rPr>
      </w:pPr>
      <w:r w:rsidRPr="00461BF0">
        <w:rPr>
          <w:rFonts w:ascii="Arial" w:hAnsi="Arial" w:cs="Arial"/>
          <w:b/>
          <w:bCs/>
          <w:sz w:val="16"/>
          <w:szCs w:val="16"/>
        </w:rPr>
        <w:t>COPYRIGHT © Prague Research Forum 202</w:t>
      </w:r>
      <w:r w:rsidR="0086109D" w:rsidRPr="00461BF0">
        <w:rPr>
          <w:rFonts w:ascii="Arial" w:hAnsi="Arial" w:cs="Arial"/>
          <w:b/>
          <w:bCs/>
          <w:sz w:val="16"/>
          <w:szCs w:val="16"/>
        </w:rPr>
        <w:t>5</w:t>
      </w:r>
    </w:p>
    <w:p w14:paraId="11779029" w14:textId="79028ED2" w:rsidR="00297AE2" w:rsidRPr="00461BF0" w:rsidRDefault="00297AE2" w:rsidP="00297AE2">
      <w:pPr>
        <w:autoSpaceDE w:val="0"/>
        <w:autoSpaceDN w:val="0"/>
        <w:adjustRightInd w:val="0"/>
        <w:spacing w:after="20"/>
        <w:jc w:val="both"/>
        <w:rPr>
          <w:rFonts w:ascii="Arial" w:hAnsi="Arial" w:cs="Arial"/>
          <w:b/>
          <w:sz w:val="16"/>
          <w:szCs w:val="16"/>
          <w:lang w:eastAsia="cs-CZ"/>
        </w:rPr>
      </w:pPr>
      <w:r w:rsidRPr="00461BF0">
        <w:rPr>
          <w:rFonts w:ascii="Arial" w:eastAsia="Times New Roman" w:hAnsi="Arial" w:cs="Arial"/>
          <w:sz w:val="16"/>
          <w:szCs w:val="16"/>
          <w:lang w:eastAsia="cs-CZ"/>
        </w:rPr>
        <w:t xml:space="preserve">This publication is the property of The Prague Research Forum (members: CBRE, Colliers, Cushman &amp; Wakefield, </w:t>
      </w:r>
      <w:r w:rsidR="008A52D4" w:rsidRPr="00461BF0">
        <w:rPr>
          <w:rFonts w:ascii="Arial" w:eastAsia="Times New Roman" w:hAnsi="Arial" w:cs="Arial"/>
          <w:sz w:val="16"/>
          <w:szCs w:val="16"/>
          <w:lang w:eastAsia="cs-CZ"/>
        </w:rPr>
        <w:t>iO Partners</w:t>
      </w:r>
      <w:r w:rsidR="001B1387" w:rsidRPr="00461BF0">
        <w:rPr>
          <w:rFonts w:ascii="Arial" w:eastAsia="Times New Roman" w:hAnsi="Arial" w:cs="Arial"/>
          <w:sz w:val="16"/>
          <w:szCs w:val="16"/>
          <w:lang w:eastAsia="cs-CZ"/>
        </w:rPr>
        <w:t>,</w:t>
      </w:r>
      <w:r w:rsidR="7FC02596" w:rsidRPr="00461BF0">
        <w:rPr>
          <w:rFonts w:ascii="Arial" w:eastAsia="Times New Roman" w:hAnsi="Arial" w:cs="Arial"/>
          <w:sz w:val="16"/>
          <w:szCs w:val="16"/>
          <w:lang w:eastAsia="cs-CZ"/>
        </w:rPr>
        <w:t xml:space="preserve"> </w:t>
      </w:r>
      <w:r w:rsidRPr="00461BF0">
        <w:rPr>
          <w:rFonts w:ascii="Arial" w:eastAsia="Times New Roman" w:hAnsi="Arial" w:cs="Arial"/>
          <w:sz w:val="16"/>
          <w:szCs w:val="16"/>
          <w:lang w:eastAsia="cs-CZ"/>
        </w:rPr>
        <w:t>Knight Frank</w:t>
      </w:r>
      <w:r w:rsidR="001B1387" w:rsidRPr="00461BF0">
        <w:rPr>
          <w:rFonts w:ascii="Arial" w:eastAsia="Times New Roman" w:hAnsi="Arial" w:cs="Arial"/>
          <w:sz w:val="16"/>
          <w:szCs w:val="16"/>
          <w:lang w:eastAsia="cs-CZ"/>
        </w:rPr>
        <w:t xml:space="preserve"> and Savills</w:t>
      </w:r>
      <w:r w:rsidR="00747E88" w:rsidRPr="00461BF0">
        <w:rPr>
          <w:rFonts w:ascii="Arial" w:eastAsia="Times New Roman" w:hAnsi="Arial" w:cs="Arial"/>
          <w:sz w:val="16"/>
          <w:szCs w:val="16"/>
          <w:lang w:eastAsia="cs-CZ"/>
        </w:rPr>
        <w:t>)</w:t>
      </w:r>
      <w:r w:rsidRPr="00461BF0">
        <w:rPr>
          <w:rFonts w:ascii="Arial" w:eastAsia="Times New Roman" w:hAnsi="Arial" w:cs="Arial"/>
          <w:sz w:val="16"/>
          <w:szCs w:val="16"/>
          <w:lang w:eastAsia="cs-CZ"/>
        </w:rPr>
        <w:t xml:space="preserve"> and cannot be copied, reproduced or redistributed in any form or by any means, either as a part or whole, without quoting the Prague Research Forum as the information source. The information contained in this publication has been obtained from sources considered reliable. However, we do not guarantee the accuracy of the information. Please inform us about </w:t>
      </w:r>
      <w:r w:rsidR="00747E88" w:rsidRPr="00461BF0">
        <w:rPr>
          <w:rFonts w:ascii="Arial" w:eastAsia="Times New Roman" w:hAnsi="Arial" w:cs="Arial"/>
          <w:sz w:val="16"/>
          <w:szCs w:val="16"/>
          <w:lang w:eastAsia="cs-CZ"/>
        </w:rPr>
        <w:t>any</w:t>
      </w:r>
      <w:r w:rsidRPr="00461BF0">
        <w:rPr>
          <w:rFonts w:ascii="Arial" w:eastAsia="Times New Roman" w:hAnsi="Arial" w:cs="Arial"/>
          <w:sz w:val="16"/>
          <w:szCs w:val="16"/>
          <w:lang w:eastAsia="cs-CZ"/>
        </w:rPr>
        <w:t xml:space="preserve"> uncertainties, so we can correct </w:t>
      </w:r>
      <w:r w:rsidR="00747E88" w:rsidRPr="00461BF0">
        <w:rPr>
          <w:rFonts w:ascii="Arial" w:eastAsia="Times New Roman" w:hAnsi="Arial" w:cs="Arial"/>
          <w:sz w:val="16"/>
          <w:szCs w:val="16"/>
          <w:lang w:eastAsia="cs-CZ"/>
        </w:rPr>
        <w:t>them</w:t>
      </w:r>
      <w:r w:rsidRPr="00461BF0">
        <w:rPr>
          <w:rFonts w:ascii="Arial" w:eastAsia="Times New Roman" w:hAnsi="Arial" w:cs="Arial"/>
          <w:sz w:val="16"/>
          <w:szCs w:val="16"/>
          <w:lang w:eastAsia="cs-CZ"/>
        </w:rPr>
        <w:t>. Prague Research Forum does not bind itself to liability for damage or loss caused by any unintentional inaccuracies in this report.</w:t>
      </w:r>
    </w:p>
    <w:p w14:paraId="3B4E46B0" w14:textId="77777777" w:rsidR="005F0389" w:rsidRPr="00461BF0" w:rsidRDefault="005F0389"/>
    <w:sectPr w:rsidR="005F0389" w:rsidRPr="00461BF0" w:rsidSect="00300AF3">
      <w:headerReference w:type="first" r:id="rId11"/>
      <w:type w:val="continuous"/>
      <w:pgSz w:w="11906" w:h="16838" w:code="9"/>
      <w:pgMar w:top="1021" w:right="1418" w:bottom="1021" w:left="1418" w:header="709"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581F64" w14:textId="77777777" w:rsidR="00413845" w:rsidRDefault="00413845">
      <w:r>
        <w:separator/>
      </w:r>
    </w:p>
  </w:endnote>
  <w:endnote w:type="continuationSeparator" w:id="0">
    <w:p w14:paraId="19920021" w14:textId="77777777" w:rsidR="00413845" w:rsidRDefault="00413845">
      <w:r>
        <w:continuationSeparator/>
      </w:r>
    </w:p>
  </w:endnote>
  <w:endnote w:type="continuationNotice" w:id="1">
    <w:p w14:paraId="7086EF4F" w14:textId="77777777" w:rsidR="00413845" w:rsidRDefault="004138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EE"/>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046463" w14:textId="77777777" w:rsidR="00413845" w:rsidRDefault="00413845">
      <w:r>
        <w:separator/>
      </w:r>
    </w:p>
  </w:footnote>
  <w:footnote w:type="continuationSeparator" w:id="0">
    <w:p w14:paraId="60B41969" w14:textId="77777777" w:rsidR="00413845" w:rsidRDefault="00413845">
      <w:r>
        <w:continuationSeparator/>
      </w:r>
    </w:p>
  </w:footnote>
  <w:footnote w:type="continuationNotice" w:id="1">
    <w:p w14:paraId="3F2A64BA" w14:textId="77777777" w:rsidR="00413845" w:rsidRDefault="0041384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0"/>
      <w:gridCol w:w="3480"/>
      <w:gridCol w:w="3480"/>
    </w:tblGrid>
    <w:tr w:rsidR="00300AF3" w14:paraId="045AA0DE" w14:textId="77777777" w:rsidTr="00300AF3">
      <w:tc>
        <w:tcPr>
          <w:tcW w:w="3480" w:type="dxa"/>
        </w:tcPr>
        <w:p w14:paraId="1CA8F8ED" w14:textId="77777777" w:rsidR="00300AF3" w:rsidRDefault="00300AF3" w:rsidP="00300AF3">
          <w:pPr>
            <w:pStyle w:val="Zhlav"/>
            <w:ind w:left="-115"/>
          </w:pPr>
        </w:p>
      </w:tc>
      <w:tc>
        <w:tcPr>
          <w:tcW w:w="3480" w:type="dxa"/>
        </w:tcPr>
        <w:p w14:paraId="19625E43" w14:textId="77777777" w:rsidR="00300AF3" w:rsidRDefault="00300AF3" w:rsidP="00300AF3">
          <w:pPr>
            <w:pStyle w:val="Zhlav"/>
            <w:jc w:val="center"/>
          </w:pPr>
        </w:p>
      </w:tc>
      <w:tc>
        <w:tcPr>
          <w:tcW w:w="3480" w:type="dxa"/>
        </w:tcPr>
        <w:p w14:paraId="6DC6F2B9" w14:textId="77777777" w:rsidR="00300AF3" w:rsidRDefault="00300AF3" w:rsidP="00300AF3">
          <w:pPr>
            <w:pStyle w:val="Zhlav"/>
            <w:ind w:right="-115"/>
            <w:jc w:val="right"/>
          </w:pPr>
        </w:p>
      </w:tc>
    </w:tr>
  </w:tbl>
  <w:p w14:paraId="23DA094A" w14:textId="77777777" w:rsidR="00300AF3" w:rsidRDefault="00300AF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8A0555"/>
    <w:multiLevelType w:val="hybridMultilevel"/>
    <w:tmpl w:val="689CC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E836DAF"/>
    <w:multiLevelType w:val="hybridMultilevel"/>
    <w:tmpl w:val="5B6A7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AA53F85"/>
    <w:multiLevelType w:val="hybridMultilevel"/>
    <w:tmpl w:val="425E7E82"/>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3" w15:restartNumberingAfterBreak="0">
    <w:nsid w:val="60804ADC"/>
    <w:multiLevelType w:val="hybridMultilevel"/>
    <w:tmpl w:val="47A4D3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8495670"/>
    <w:multiLevelType w:val="multilevel"/>
    <w:tmpl w:val="8BD87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43239761">
    <w:abstractNumId w:val="0"/>
  </w:num>
  <w:num w:numId="2" w16cid:durableId="1391072505">
    <w:abstractNumId w:val="3"/>
  </w:num>
  <w:num w:numId="3" w16cid:durableId="1350258218">
    <w:abstractNumId w:val="1"/>
  </w:num>
  <w:num w:numId="4" w16cid:durableId="461272019">
    <w:abstractNumId w:val="2"/>
  </w:num>
  <w:num w:numId="5" w16cid:durableId="46701390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TAytbA0MzcyMTIxtTRW0lEKTi0uzszPAykwrAUADq70aiwAAAA="/>
  </w:docVars>
  <w:rsids>
    <w:rsidRoot w:val="00297AE2"/>
    <w:rsid w:val="000003DA"/>
    <w:rsid w:val="00000F6E"/>
    <w:rsid w:val="00000FCD"/>
    <w:rsid w:val="000012D3"/>
    <w:rsid w:val="00002631"/>
    <w:rsid w:val="00003A91"/>
    <w:rsid w:val="00003D10"/>
    <w:rsid w:val="0000405A"/>
    <w:rsid w:val="00004AA9"/>
    <w:rsid w:val="0001039E"/>
    <w:rsid w:val="000114DC"/>
    <w:rsid w:val="0001488D"/>
    <w:rsid w:val="00015E2F"/>
    <w:rsid w:val="00022FCF"/>
    <w:rsid w:val="00023CFA"/>
    <w:rsid w:val="00023F55"/>
    <w:rsid w:val="000261DB"/>
    <w:rsid w:val="00026E1D"/>
    <w:rsid w:val="000305EE"/>
    <w:rsid w:val="00035BFE"/>
    <w:rsid w:val="000402DB"/>
    <w:rsid w:val="00040390"/>
    <w:rsid w:val="00042F42"/>
    <w:rsid w:val="000461BB"/>
    <w:rsid w:val="00050651"/>
    <w:rsid w:val="00053DFA"/>
    <w:rsid w:val="00054536"/>
    <w:rsid w:val="0005531C"/>
    <w:rsid w:val="00055A18"/>
    <w:rsid w:val="00055C18"/>
    <w:rsid w:val="000571D1"/>
    <w:rsid w:val="0006177F"/>
    <w:rsid w:val="000619A6"/>
    <w:rsid w:val="0006309E"/>
    <w:rsid w:val="00064898"/>
    <w:rsid w:val="00067FF2"/>
    <w:rsid w:val="00070245"/>
    <w:rsid w:val="0007075F"/>
    <w:rsid w:val="0007430B"/>
    <w:rsid w:val="00081779"/>
    <w:rsid w:val="00082340"/>
    <w:rsid w:val="00082D74"/>
    <w:rsid w:val="0008355C"/>
    <w:rsid w:val="00084BDE"/>
    <w:rsid w:val="00086EC2"/>
    <w:rsid w:val="0009139E"/>
    <w:rsid w:val="000955E7"/>
    <w:rsid w:val="0009613E"/>
    <w:rsid w:val="000979E9"/>
    <w:rsid w:val="000A2841"/>
    <w:rsid w:val="000A2F75"/>
    <w:rsid w:val="000A32F1"/>
    <w:rsid w:val="000A3966"/>
    <w:rsid w:val="000B2EB1"/>
    <w:rsid w:val="000B4505"/>
    <w:rsid w:val="000B5D77"/>
    <w:rsid w:val="000B5DA3"/>
    <w:rsid w:val="000B67A7"/>
    <w:rsid w:val="000B6EEE"/>
    <w:rsid w:val="000B7BB3"/>
    <w:rsid w:val="000C1539"/>
    <w:rsid w:val="000C21B5"/>
    <w:rsid w:val="000C2ABF"/>
    <w:rsid w:val="000C36C5"/>
    <w:rsid w:val="000C46E5"/>
    <w:rsid w:val="000C4C76"/>
    <w:rsid w:val="000C5031"/>
    <w:rsid w:val="000C6FDD"/>
    <w:rsid w:val="000C73EF"/>
    <w:rsid w:val="000C76CA"/>
    <w:rsid w:val="000C7962"/>
    <w:rsid w:val="000D1E52"/>
    <w:rsid w:val="000D2D98"/>
    <w:rsid w:val="000D3A0A"/>
    <w:rsid w:val="000D3EE2"/>
    <w:rsid w:val="000D454E"/>
    <w:rsid w:val="000D65EA"/>
    <w:rsid w:val="000D6D1A"/>
    <w:rsid w:val="000D7B3E"/>
    <w:rsid w:val="000D7C38"/>
    <w:rsid w:val="000D7DCB"/>
    <w:rsid w:val="000D7DF1"/>
    <w:rsid w:val="000E0681"/>
    <w:rsid w:val="000E263E"/>
    <w:rsid w:val="000E553E"/>
    <w:rsid w:val="000F0563"/>
    <w:rsid w:val="000F05CE"/>
    <w:rsid w:val="000F0FA9"/>
    <w:rsid w:val="000F136A"/>
    <w:rsid w:val="000F359B"/>
    <w:rsid w:val="000F7F60"/>
    <w:rsid w:val="00101719"/>
    <w:rsid w:val="00107246"/>
    <w:rsid w:val="00110998"/>
    <w:rsid w:val="00111227"/>
    <w:rsid w:val="0011148C"/>
    <w:rsid w:val="00111FAB"/>
    <w:rsid w:val="001120C6"/>
    <w:rsid w:val="001130AD"/>
    <w:rsid w:val="00115225"/>
    <w:rsid w:val="00115628"/>
    <w:rsid w:val="0011689D"/>
    <w:rsid w:val="00120465"/>
    <w:rsid w:val="001215D0"/>
    <w:rsid w:val="00122F2E"/>
    <w:rsid w:val="00123FFA"/>
    <w:rsid w:val="00126456"/>
    <w:rsid w:val="00127337"/>
    <w:rsid w:val="00133598"/>
    <w:rsid w:val="00135329"/>
    <w:rsid w:val="001353B9"/>
    <w:rsid w:val="001355BE"/>
    <w:rsid w:val="00135798"/>
    <w:rsid w:val="00141025"/>
    <w:rsid w:val="001415A7"/>
    <w:rsid w:val="00144BCE"/>
    <w:rsid w:val="0014599C"/>
    <w:rsid w:val="00146781"/>
    <w:rsid w:val="00146C4A"/>
    <w:rsid w:val="00146FE6"/>
    <w:rsid w:val="00151622"/>
    <w:rsid w:val="001544EA"/>
    <w:rsid w:val="001547AA"/>
    <w:rsid w:val="001547E6"/>
    <w:rsid w:val="001556F6"/>
    <w:rsid w:val="001559D7"/>
    <w:rsid w:val="001563A7"/>
    <w:rsid w:val="00156C2B"/>
    <w:rsid w:val="001624E7"/>
    <w:rsid w:val="0016294B"/>
    <w:rsid w:val="001638F9"/>
    <w:rsid w:val="00163BE8"/>
    <w:rsid w:val="00163DEA"/>
    <w:rsid w:val="00166546"/>
    <w:rsid w:val="0016726B"/>
    <w:rsid w:val="0017081C"/>
    <w:rsid w:val="001733B2"/>
    <w:rsid w:val="00173DF4"/>
    <w:rsid w:val="001750AF"/>
    <w:rsid w:val="00175BF4"/>
    <w:rsid w:val="00175EA5"/>
    <w:rsid w:val="00182668"/>
    <w:rsid w:val="00182BA6"/>
    <w:rsid w:val="001830D1"/>
    <w:rsid w:val="00184235"/>
    <w:rsid w:val="001858B2"/>
    <w:rsid w:val="0018748D"/>
    <w:rsid w:val="00187D99"/>
    <w:rsid w:val="00194EFD"/>
    <w:rsid w:val="0019AD47"/>
    <w:rsid w:val="001A0AF0"/>
    <w:rsid w:val="001A111F"/>
    <w:rsid w:val="001A1C4E"/>
    <w:rsid w:val="001A2252"/>
    <w:rsid w:val="001A2FA1"/>
    <w:rsid w:val="001A393C"/>
    <w:rsid w:val="001A3AD9"/>
    <w:rsid w:val="001A5B08"/>
    <w:rsid w:val="001B0017"/>
    <w:rsid w:val="001B1387"/>
    <w:rsid w:val="001B168F"/>
    <w:rsid w:val="001B1B1A"/>
    <w:rsid w:val="001B31F4"/>
    <w:rsid w:val="001B3845"/>
    <w:rsid w:val="001C3840"/>
    <w:rsid w:val="001C3ED9"/>
    <w:rsid w:val="001C47A8"/>
    <w:rsid w:val="001C628C"/>
    <w:rsid w:val="001C6546"/>
    <w:rsid w:val="001C7D45"/>
    <w:rsid w:val="001D40F4"/>
    <w:rsid w:val="001D5EC0"/>
    <w:rsid w:val="001D5FBC"/>
    <w:rsid w:val="001D6188"/>
    <w:rsid w:val="001E1AA0"/>
    <w:rsid w:val="001E1E2B"/>
    <w:rsid w:val="001E35F5"/>
    <w:rsid w:val="001E620D"/>
    <w:rsid w:val="001E62E6"/>
    <w:rsid w:val="001E7822"/>
    <w:rsid w:val="001E78C5"/>
    <w:rsid w:val="001F0260"/>
    <w:rsid w:val="001F19F0"/>
    <w:rsid w:val="001F2D1D"/>
    <w:rsid w:val="001F57B9"/>
    <w:rsid w:val="001F66EB"/>
    <w:rsid w:val="001F73CE"/>
    <w:rsid w:val="0020261B"/>
    <w:rsid w:val="00203DDD"/>
    <w:rsid w:val="00204F2F"/>
    <w:rsid w:val="002052CE"/>
    <w:rsid w:val="002053C9"/>
    <w:rsid w:val="002066DF"/>
    <w:rsid w:val="00210849"/>
    <w:rsid w:val="00210D6D"/>
    <w:rsid w:val="00212058"/>
    <w:rsid w:val="002126F9"/>
    <w:rsid w:val="00213861"/>
    <w:rsid w:val="00214790"/>
    <w:rsid w:val="002148F9"/>
    <w:rsid w:val="002175E5"/>
    <w:rsid w:val="002233C6"/>
    <w:rsid w:val="00230038"/>
    <w:rsid w:val="00230D66"/>
    <w:rsid w:val="00230E3F"/>
    <w:rsid w:val="002313A7"/>
    <w:rsid w:val="00233260"/>
    <w:rsid w:val="002341EF"/>
    <w:rsid w:val="00235C28"/>
    <w:rsid w:val="00240128"/>
    <w:rsid w:val="00241EB8"/>
    <w:rsid w:val="00245864"/>
    <w:rsid w:val="002470FF"/>
    <w:rsid w:val="00247612"/>
    <w:rsid w:val="0025040B"/>
    <w:rsid w:val="00251057"/>
    <w:rsid w:val="00256CBD"/>
    <w:rsid w:val="00262F5B"/>
    <w:rsid w:val="002634EE"/>
    <w:rsid w:val="002639DE"/>
    <w:rsid w:val="00263EA1"/>
    <w:rsid w:val="002658C0"/>
    <w:rsid w:val="00266E61"/>
    <w:rsid w:val="0027248C"/>
    <w:rsid w:val="002726C1"/>
    <w:rsid w:val="00272903"/>
    <w:rsid w:val="00274A12"/>
    <w:rsid w:val="0027588A"/>
    <w:rsid w:val="002760E1"/>
    <w:rsid w:val="00281166"/>
    <w:rsid w:val="00281AB0"/>
    <w:rsid w:val="00283ADF"/>
    <w:rsid w:val="00284D68"/>
    <w:rsid w:val="00284F0A"/>
    <w:rsid w:val="00286CCE"/>
    <w:rsid w:val="002870C0"/>
    <w:rsid w:val="002872E9"/>
    <w:rsid w:val="00287465"/>
    <w:rsid w:val="00291586"/>
    <w:rsid w:val="002947FB"/>
    <w:rsid w:val="00297AE2"/>
    <w:rsid w:val="002A1E46"/>
    <w:rsid w:val="002A42DD"/>
    <w:rsid w:val="002A4CA0"/>
    <w:rsid w:val="002B0A2C"/>
    <w:rsid w:val="002B1133"/>
    <w:rsid w:val="002B259A"/>
    <w:rsid w:val="002B26DD"/>
    <w:rsid w:val="002B3B6D"/>
    <w:rsid w:val="002B3FEB"/>
    <w:rsid w:val="002B4B9D"/>
    <w:rsid w:val="002B5CEF"/>
    <w:rsid w:val="002B5E1A"/>
    <w:rsid w:val="002B6222"/>
    <w:rsid w:val="002C2EC3"/>
    <w:rsid w:val="002C47F2"/>
    <w:rsid w:val="002E10FC"/>
    <w:rsid w:val="002E171C"/>
    <w:rsid w:val="002E2A34"/>
    <w:rsid w:val="002E2CF7"/>
    <w:rsid w:val="002E4571"/>
    <w:rsid w:val="002E4B74"/>
    <w:rsid w:val="002E595B"/>
    <w:rsid w:val="002E6145"/>
    <w:rsid w:val="002E6B70"/>
    <w:rsid w:val="002E6DFC"/>
    <w:rsid w:val="002E7A98"/>
    <w:rsid w:val="002E7DE8"/>
    <w:rsid w:val="002F0004"/>
    <w:rsid w:val="002F0AD6"/>
    <w:rsid w:val="002F1541"/>
    <w:rsid w:val="002F1C1D"/>
    <w:rsid w:val="002F490D"/>
    <w:rsid w:val="002F4F67"/>
    <w:rsid w:val="002F75D2"/>
    <w:rsid w:val="003003F7"/>
    <w:rsid w:val="00300AF3"/>
    <w:rsid w:val="00300F91"/>
    <w:rsid w:val="003042EB"/>
    <w:rsid w:val="003063AD"/>
    <w:rsid w:val="00306F38"/>
    <w:rsid w:val="00307691"/>
    <w:rsid w:val="0031020C"/>
    <w:rsid w:val="00312068"/>
    <w:rsid w:val="003131F1"/>
    <w:rsid w:val="003136CF"/>
    <w:rsid w:val="00315D50"/>
    <w:rsid w:val="00316906"/>
    <w:rsid w:val="00316A50"/>
    <w:rsid w:val="0032060C"/>
    <w:rsid w:val="00321056"/>
    <w:rsid w:val="00324EFA"/>
    <w:rsid w:val="00325786"/>
    <w:rsid w:val="003262DE"/>
    <w:rsid w:val="003264D1"/>
    <w:rsid w:val="003313DF"/>
    <w:rsid w:val="003343B2"/>
    <w:rsid w:val="003359C0"/>
    <w:rsid w:val="00336874"/>
    <w:rsid w:val="00340382"/>
    <w:rsid w:val="00341B40"/>
    <w:rsid w:val="00341EA2"/>
    <w:rsid w:val="00343C14"/>
    <w:rsid w:val="003459AB"/>
    <w:rsid w:val="00345F11"/>
    <w:rsid w:val="00347428"/>
    <w:rsid w:val="00350625"/>
    <w:rsid w:val="00353F9E"/>
    <w:rsid w:val="0035509E"/>
    <w:rsid w:val="00355FDA"/>
    <w:rsid w:val="00356042"/>
    <w:rsid w:val="00356839"/>
    <w:rsid w:val="00360B94"/>
    <w:rsid w:val="003619CE"/>
    <w:rsid w:val="0036290A"/>
    <w:rsid w:val="003642C6"/>
    <w:rsid w:val="00366B24"/>
    <w:rsid w:val="003734D2"/>
    <w:rsid w:val="00374AC2"/>
    <w:rsid w:val="00375768"/>
    <w:rsid w:val="003760DC"/>
    <w:rsid w:val="00377A25"/>
    <w:rsid w:val="00382C02"/>
    <w:rsid w:val="00382E99"/>
    <w:rsid w:val="00383097"/>
    <w:rsid w:val="00385B27"/>
    <w:rsid w:val="003865BF"/>
    <w:rsid w:val="00386ECF"/>
    <w:rsid w:val="003925CC"/>
    <w:rsid w:val="00392C98"/>
    <w:rsid w:val="00393AC3"/>
    <w:rsid w:val="003943B4"/>
    <w:rsid w:val="00395C8B"/>
    <w:rsid w:val="003968E8"/>
    <w:rsid w:val="003977C4"/>
    <w:rsid w:val="003A0C57"/>
    <w:rsid w:val="003A164E"/>
    <w:rsid w:val="003A22C4"/>
    <w:rsid w:val="003A2AB5"/>
    <w:rsid w:val="003A5398"/>
    <w:rsid w:val="003A5FA7"/>
    <w:rsid w:val="003A7CC0"/>
    <w:rsid w:val="003B0DCB"/>
    <w:rsid w:val="003B1D29"/>
    <w:rsid w:val="003B1E28"/>
    <w:rsid w:val="003B257F"/>
    <w:rsid w:val="003B44A2"/>
    <w:rsid w:val="003B4EDB"/>
    <w:rsid w:val="003B608F"/>
    <w:rsid w:val="003B7E98"/>
    <w:rsid w:val="003C2685"/>
    <w:rsid w:val="003C3F09"/>
    <w:rsid w:val="003C4630"/>
    <w:rsid w:val="003D0137"/>
    <w:rsid w:val="003D14B5"/>
    <w:rsid w:val="003D1A0C"/>
    <w:rsid w:val="003D1B6E"/>
    <w:rsid w:val="003D4645"/>
    <w:rsid w:val="003D46A7"/>
    <w:rsid w:val="003D5705"/>
    <w:rsid w:val="003D634B"/>
    <w:rsid w:val="003E2E4A"/>
    <w:rsid w:val="003E3990"/>
    <w:rsid w:val="003E4796"/>
    <w:rsid w:val="003E5B6E"/>
    <w:rsid w:val="003E5CF3"/>
    <w:rsid w:val="003E66A3"/>
    <w:rsid w:val="003F174A"/>
    <w:rsid w:val="003F2DBB"/>
    <w:rsid w:val="003F4F6F"/>
    <w:rsid w:val="003F5449"/>
    <w:rsid w:val="003F5F26"/>
    <w:rsid w:val="003F675B"/>
    <w:rsid w:val="003F7272"/>
    <w:rsid w:val="004016DC"/>
    <w:rsid w:val="004035A1"/>
    <w:rsid w:val="004048B1"/>
    <w:rsid w:val="00405257"/>
    <w:rsid w:val="004055C2"/>
    <w:rsid w:val="0040566E"/>
    <w:rsid w:val="00405D4D"/>
    <w:rsid w:val="00406089"/>
    <w:rsid w:val="004074B8"/>
    <w:rsid w:val="00407C89"/>
    <w:rsid w:val="004106A9"/>
    <w:rsid w:val="0041239B"/>
    <w:rsid w:val="0041241E"/>
    <w:rsid w:val="00413845"/>
    <w:rsid w:val="00414216"/>
    <w:rsid w:val="00425751"/>
    <w:rsid w:val="00426B1F"/>
    <w:rsid w:val="00427C99"/>
    <w:rsid w:val="0043080A"/>
    <w:rsid w:val="00430B95"/>
    <w:rsid w:val="00432DE5"/>
    <w:rsid w:val="00434875"/>
    <w:rsid w:val="004349F5"/>
    <w:rsid w:val="00436EC4"/>
    <w:rsid w:val="0044081D"/>
    <w:rsid w:val="00441706"/>
    <w:rsid w:val="004425CD"/>
    <w:rsid w:val="00442C60"/>
    <w:rsid w:val="00443EA7"/>
    <w:rsid w:val="0044508C"/>
    <w:rsid w:val="004456DA"/>
    <w:rsid w:val="004466FC"/>
    <w:rsid w:val="0044674A"/>
    <w:rsid w:val="0044735C"/>
    <w:rsid w:val="00451852"/>
    <w:rsid w:val="0045186B"/>
    <w:rsid w:val="00454D88"/>
    <w:rsid w:val="00460C52"/>
    <w:rsid w:val="00461BF0"/>
    <w:rsid w:val="004647D4"/>
    <w:rsid w:val="0046587C"/>
    <w:rsid w:val="0046597B"/>
    <w:rsid w:val="00466A3D"/>
    <w:rsid w:val="00470FFF"/>
    <w:rsid w:val="00471B93"/>
    <w:rsid w:val="00473E7B"/>
    <w:rsid w:val="004805C0"/>
    <w:rsid w:val="0048080A"/>
    <w:rsid w:val="00481A3F"/>
    <w:rsid w:val="00482E5B"/>
    <w:rsid w:val="00490103"/>
    <w:rsid w:val="00490AB7"/>
    <w:rsid w:val="00492998"/>
    <w:rsid w:val="00495205"/>
    <w:rsid w:val="004A1878"/>
    <w:rsid w:val="004A259D"/>
    <w:rsid w:val="004A475C"/>
    <w:rsid w:val="004A6B53"/>
    <w:rsid w:val="004A6DDE"/>
    <w:rsid w:val="004B70EB"/>
    <w:rsid w:val="004C06DF"/>
    <w:rsid w:val="004C2969"/>
    <w:rsid w:val="004C2EBC"/>
    <w:rsid w:val="004D0860"/>
    <w:rsid w:val="004D309D"/>
    <w:rsid w:val="004D648E"/>
    <w:rsid w:val="004E2234"/>
    <w:rsid w:val="004E2560"/>
    <w:rsid w:val="004E2F03"/>
    <w:rsid w:val="004E3017"/>
    <w:rsid w:val="004E59B1"/>
    <w:rsid w:val="004E5CE9"/>
    <w:rsid w:val="004E5CEE"/>
    <w:rsid w:val="004E5F02"/>
    <w:rsid w:val="004E702A"/>
    <w:rsid w:val="004E70C4"/>
    <w:rsid w:val="004F0EF8"/>
    <w:rsid w:val="004F38A8"/>
    <w:rsid w:val="004F4C56"/>
    <w:rsid w:val="004F7965"/>
    <w:rsid w:val="004F7FA2"/>
    <w:rsid w:val="00503E84"/>
    <w:rsid w:val="00504D71"/>
    <w:rsid w:val="0050500F"/>
    <w:rsid w:val="005054AA"/>
    <w:rsid w:val="00506274"/>
    <w:rsid w:val="00506667"/>
    <w:rsid w:val="005071B5"/>
    <w:rsid w:val="005103AF"/>
    <w:rsid w:val="00510A7F"/>
    <w:rsid w:val="0051193D"/>
    <w:rsid w:val="00522E73"/>
    <w:rsid w:val="005303F8"/>
    <w:rsid w:val="00530FF6"/>
    <w:rsid w:val="00531D23"/>
    <w:rsid w:val="00531D49"/>
    <w:rsid w:val="00534B01"/>
    <w:rsid w:val="00535257"/>
    <w:rsid w:val="00535E0F"/>
    <w:rsid w:val="005430BF"/>
    <w:rsid w:val="00543153"/>
    <w:rsid w:val="005440BD"/>
    <w:rsid w:val="005457D6"/>
    <w:rsid w:val="00546105"/>
    <w:rsid w:val="00547500"/>
    <w:rsid w:val="00547753"/>
    <w:rsid w:val="00553559"/>
    <w:rsid w:val="00554B60"/>
    <w:rsid w:val="00554C85"/>
    <w:rsid w:val="00557DD3"/>
    <w:rsid w:val="00563326"/>
    <w:rsid w:val="00564524"/>
    <w:rsid w:val="00564B66"/>
    <w:rsid w:val="00566B06"/>
    <w:rsid w:val="00566F2A"/>
    <w:rsid w:val="0057047A"/>
    <w:rsid w:val="005705B7"/>
    <w:rsid w:val="00571ABD"/>
    <w:rsid w:val="00572D46"/>
    <w:rsid w:val="00575307"/>
    <w:rsid w:val="00576CEF"/>
    <w:rsid w:val="00577824"/>
    <w:rsid w:val="00580324"/>
    <w:rsid w:val="00581054"/>
    <w:rsid w:val="00582B9A"/>
    <w:rsid w:val="00582E58"/>
    <w:rsid w:val="005833AC"/>
    <w:rsid w:val="005900B8"/>
    <w:rsid w:val="0059017C"/>
    <w:rsid w:val="005917DD"/>
    <w:rsid w:val="00591F43"/>
    <w:rsid w:val="00597A41"/>
    <w:rsid w:val="005A1053"/>
    <w:rsid w:val="005A51A8"/>
    <w:rsid w:val="005A5A3C"/>
    <w:rsid w:val="005B0CB9"/>
    <w:rsid w:val="005B2C84"/>
    <w:rsid w:val="005B325E"/>
    <w:rsid w:val="005B7103"/>
    <w:rsid w:val="005B739D"/>
    <w:rsid w:val="005C6070"/>
    <w:rsid w:val="005C61E4"/>
    <w:rsid w:val="005C76A7"/>
    <w:rsid w:val="005D029F"/>
    <w:rsid w:val="005D28F8"/>
    <w:rsid w:val="005D2C6D"/>
    <w:rsid w:val="005E339B"/>
    <w:rsid w:val="005E5228"/>
    <w:rsid w:val="005E622A"/>
    <w:rsid w:val="005E6E4C"/>
    <w:rsid w:val="005F0389"/>
    <w:rsid w:val="005F1575"/>
    <w:rsid w:val="005F47BC"/>
    <w:rsid w:val="005F621D"/>
    <w:rsid w:val="00600543"/>
    <w:rsid w:val="00601BBF"/>
    <w:rsid w:val="0060440A"/>
    <w:rsid w:val="00610CE8"/>
    <w:rsid w:val="00612405"/>
    <w:rsid w:val="00612621"/>
    <w:rsid w:val="00614E53"/>
    <w:rsid w:val="00614EAD"/>
    <w:rsid w:val="006153A0"/>
    <w:rsid w:val="006160A9"/>
    <w:rsid w:val="00616941"/>
    <w:rsid w:val="00616A17"/>
    <w:rsid w:val="00617121"/>
    <w:rsid w:val="00617B68"/>
    <w:rsid w:val="00620CBA"/>
    <w:rsid w:val="006218F2"/>
    <w:rsid w:val="00622894"/>
    <w:rsid w:val="00622CE2"/>
    <w:rsid w:val="006279DE"/>
    <w:rsid w:val="006304F7"/>
    <w:rsid w:val="0063057C"/>
    <w:rsid w:val="0063293C"/>
    <w:rsid w:val="00633927"/>
    <w:rsid w:val="0063442C"/>
    <w:rsid w:val="006351DD"/>
    <w:rsid w:val="00641BA3"/>
    <w:rsid w:val="006423AC"/>
    <w:rsid w:val="0064257C"/>
    <w:rsid w:val="00644B4A"/>
    <w:rsid w:val="006517DD"/>
    <w:rsid w:val="00652743"/>
    <w:rsid w:val="00652E52"/>
    <w:rsid w:val="00653EED"/>
    <w:rsid w:val="00657D7C"/>
    <w:rsid w:val="00657DBE"/>
    <w:rsid w:val="00662627"/>
    <w:rsid w:val="00663EC6"/>
    <w:rsid w:val="00664E49"/>
    <w:rsid w:val="006661CB"/>
    <w:rsid w:val="00666BBE"/>
    <w:rsid w:val="00667369"/>
    <w:rsid w:val="006673A0"/>
    <w:rsid w:val="00670F93"/>
    <w:rsid w:val="00672B77"/>
    <w:rsid w:val="006754B4"/>
    <w:rsid w:val="00675D52"/>
    <w:rsid w:val="00680F0B"/>
    <w:rsid w:val="00682863"/>
    <w:rsid w:val="00683EA4"/>
    <w:rsid w:val="006845BF"/>
    <w:rsid w:val="00684D48"/>
    <w:rsid w:val="00685D20"/>
    <w:rsid w:val="00693B0F"/>
    <w:rsid w:val="00695190"/>
    <w:rsid w:val="006962F0"/>
    <w:rsid w:val="006A1540"/>
    <w:rsid w:val="006A507C"/>
    <w:rsid w:val="006A51A2"/>
    <w:rsid w:val="006A76D6"/>
    <w:rsid w:val="006B09E5"/>
    <w:rsid w:val="006C30FE"/>
    <w:rsid w:val="006C4A8C"/>
    <w:rsid w:val="006C677D"/>
    <w:rsid w:val="006C6838"/>
    <w:rsid w:val="006D043C"/>
    <w:rsid w:val="006D0613"/>
    <w:rsid w:val="006D4CF2"/>
    <w:rsid w:val="006D4D23"/>
    <w:rsid w:val="006D5A5E"/>
    <w:rsid w:val="006D649B"/>
    <w:rsid w:val="006D6852"/>
    <w:rsid w:val="006E0134"/>
    <w:rsid w:val="006E274C"/>
    <w:rsid w:val="006E36B3"/>
    <w:rsid w:val="006E49C3"/>
    <w:rsid w:val="006E5514"/>
    <w:rsid w:val="006E7267"/>
    <w:rsid w:val="006F0655"/>
    <w:rsid w:val="006F14C0"/>
    <w:rsid w:val="006F4E76"/>
    <w:rsid w:val="006F6891"/>
    <w:rsid w:val="006F6F53"/>
    <w:rsid w:val="006F7DF2"/>
    <w:rsid w:val="007016E6"/>
    <w:rsid w:val="0070437E"/>
    <w:rsid w:val="00705731"/>
    <w:rsid w:val="0070577E"/>
    <w:rsid w:val="00705F5C"/>
    <w:rsid w:val="00711C73"/>
    <w:rsid w:val="0071344D"/>
    <w:rsid w:val="007136F8"/>
    <w:rsid w:val="00717151"/>
    <w:rsid w:val="00720209"/>
    <w:rsid w:val="00721E41"/>
    <w:rsid w:val="00722F8A"/>
    <w:rsid w:val="00725ABA"/>
    <w:rsid w:val="00731018"/>
    <w:rsid w:val="00734806"/>
    <w:rsid w:val="007354C7"/>
    <w:rsid w:val="00735D53"/>
    <w:rsid w:val="007410EF"/>
    <w:rsid w:val="00741D04"/>
    <w:rsid w:val="00744AF2"/>
    <w:rsid w:val="0074625A"/>
    <w:rsid w:val="00747663"/>
    <w:rsid w:val="00747E88"/>
    <w:rsid w:val="00750603"/>
    <w:rsid w:val="00752EAA"/>
    <w:rsid w:val="0075523E"/>
    <w:rsid w:val="007557D8"/>
    <w:rsid w:val="0075743E"/>
    <w:rsid w:val="007601B6"/>
    <w:rsid w:val="00760BD9"/>
    <w:rsid w:val="007624C9"/>
    <w:rsid w:val="007628FB"/>
    <w:rsid w:val="00762F12"/>
    <w:rsid w:val="00763512"/>
    <w:rsid w:val="0076497E"/>
    <w:rsid w:val="00764B73"/>
    <w:rsid w:val="00764E06"/>
    <w:rsid w:val="0076503E"/>
    <w:rsid w:val="00765E92"/>
    <w:rsid w:val="00765F75"/>
    <w:rsid w:val="00775B0B"/>
    <w:rsid w:val="00776005"/>
    <w:rsid w:val="00780BC2"/>
    <w:rsid w:val="00782B0A"/>
    <w:rsid w:val="00785CD8"/>
    <w:rsid w:val="007864A1"/>
    <w:rsid w:val="007900A0"/>
    <w:rsid w:val="00791E95"/>
    <w:rsid w:val="007938F1"/>
    <w:rsid w:val="007952FC"/>
    <w:rsid w:val="0079543D"/>
    <w:rsid w:val="007956C5"/>
    <w:rsid w:val="00796E90"/>
    <w:rsid w:val="007A04DE"/>
    <w:rsid w:val="007A7666"/>
    <w:rsid w:val="007B2B23"/>
    <w:rsid w:val="007B4359"/>
    <w:rsid w:val="007B47EF"/>
    <w:rsid w:val="007B4A5C"/>
    <w:rsid w:val="007B5270"/>
    <w:rsid w:val="007B7F75"/>
    <w:rsid w:val="007C049C"/>
    <w:rsid w:val="007C065B"/>
    <w:rsid w:val="007C066A"/>
    <w:rsid w:val="007C3486"/>
    <w:rsid w:val="007C4584"/>
    <w:rsid w:val="007C5EF4"/>
    <w:rsid w:val="007C5F22"/>
    <w:rsid w:val="007D1886"/>
    <w:rsid w:val="007D2B57"/>
    <w:rsid w:val="007D38D5"/>
    <w:rsid w:val="007D397A"/>
    <w:rsid w:val="007E0151"/>
    <w:rsid w:val="007E0964"/>
    <w:rsid w:val="007E1BDA"/>
    <w:rsid w:val="007E2C00"/>
    <w:rsid w:val="007E2FA5"/>
    <w:rsid w:val="007E371D"/>
    <w:rsid w:val="007E75BD"/>
    <w:rsid w:val="007E7880"/>
    <w:rsid w:val="007F19FC"/>
    <w:rsid w:val="007F1ADE"/>
    <w:rsid w:val="007F33B9"/>
    <w:rsid w:val="007F358A"/>
    <w:rsid w:val="007F423A"/>
    <w:rsid w:val="007F5860"/>
    <w:rsid w:val="007F6710"/>
    <w:rsid w:val="007F6DBF"/>
    <w:rsid w:val="007F7533"/>
    <w:rsid w:val="007F76CF"/>
    <w:rsid w:val="0080030D"/>
    <w:rsid w:val="00801BA5"/>
    <w:rsid w:val="00801DF8"/>
    <w:rsid w:val="00803471"/>
    <w:rsid w:val="008035AB"/>
    <w:rsid w:val="0080433E"/>
    <w:rsid w:val="00806B10"/>
    <w:rsid w:val="0080777C"/>
    <w:rsid w:val="0080778A"/>
    <w:rsid w:val="008101B5"/>
    <w:rsid w:val="008128AB"/>
    <w:rsid w:val="008128BE"/>
    <w:rsid w:val="0081396E"/>
    <w:rsid w:val="00814D78"/>
    <w:rsid w:val="00814E9E"/>
    <w:rsid w:val="00815FA4"/>
    <w:rsid w:val="00816370"/>
    <w:rsid w:val="008168F7"/>
    <w:rsid w:val="00816A69"/>
    <w:rsid w:val="00816B7D"/>
    <w:rsid w:val="008176FE"/>
    <w:rsid w:val="008177FA"/>
    <w:rsid w:val="00823214"/>
    <w:rsid w:val="008234D5"/>
    <w:rsid w:val="0082401B"/>
    <w:rsid w:val="008262FF"/>
    <w:rsid w:val="0082658D"/>
    <w:rsid w:val="00827385"/>
    <w:rsid w:val="008276A9"/>
    <w:rsid w:val="00827FD0"/>
    <w:rsid w:val="00831928"/>
    <w:rsid w:val="00834A67"/>
    <w:rsid w:val="00834F60"/>
    <w:rsid w:val="00835D8B"/>
    <w:rsid w:val="00840803"/>
    <w:rsid w:val="00840E73"/>
    <w:rsid w:val="0084229B"/>
    <w:rsid w:val="008424FA"/>
    <w:rsid w:val="008429C1"/>
    <w:rsid w:val="00842AF2"/>
    <w:rsid w:val="00842D8F"/>
    <w:rsid w:val="00843150"/>
    <w:rsid w:val="008446FD"/>
    <w:rsid w:val="00845FBE"/>
    <w:rsid w:val="0084660A"/>
    <w:rsid w:val="00847FCF"/>
    <w:rsid w:val="0085768C"/>
    <w:rsid w:val="0086109D"/>
    <w:rsid w:val="008623BF"/>
    <w:rsid w:val="008623D9"/>
    <w:rsid w:val="008671A4"/>
    <w:rsid w:val="008703D6"/>
    <w:rsid w:val="00871EEE"/>
    <w:rsid w:val="0087413D"/>
    <w:rsid w:val="00875047"/>
    <w:rsid w:val="00876DD7"/>
    <w:rsid w:val="00880818"/>
    <w:rsid w:val="008837BB"/>
    <w:rsid w:val="0088444C"/>
    <w:rsid w:val="008862AB"/>
    <w:rsid w:val="00886A42"/>
    <w:rsid w:val="00887B4B"/>
    <w:rsid w:val="00891692"/>
    <w:rsid w:val="00893694"/>
    <w:rsid w:val="008940D7"/>
    <w:rsid w:val="0089435E"/>
    <w:rsid w:val="00895293"/>
    <w:rsid w:val="0089566E"/>
    <w:rsid w:val="00896AE7"/>
    <w:rsid w:val="008A0DF9"/>
    <w:rsid w:val="008A0E9A"/>
    <w:rsid w:val="008A1031"/>
    <w:rsid w:val="008A120F"/>
    <w:rsid w:val="008A2100"/>
    <w:rsid w:val="008A2376"/>
    <w:rsid w:val="008A4362"/>
    <w:rsid w:val="008A4C56"/>
    <w:rsid w:val="008A52D4"/>
    <w:rsid w:val="008B0075"/>
    <w:rsid w:val="008B458E"/>
    <w:rsid w:val="008B493B"/>
    <w:rsid w:val="008B50C6"/>
    <w:rsid w:val="008B6464"/>
    <w:rsid w:val="008B6E50"/>
    <w:rsid w:val="008C015A"/>
    <w:rsid w:val="008C0FC5"/>
    <w:rsid w:val="008C23DB"/>
    <w:rsid w:val="008C4F51"/>
    <w:rsid w:val="008C5270"/>
    <w:rsid w:val="008C6328"/>
    <w:rsid w:val="008C7564"/>
    <w:rsid w:val="008D0C4F"/>
    <w:rsid w:val="008D141D"/>
    <w:rsid w:val="008D405B"/>
    <w:rsid w:val="008D455F"/>
    <w:rsid w:val="008D52F0"/>
    <w:rsid w:val="008D5514"/>
    <w:rsid w:val="008D68A0"/>
    <w:rsid w:val="008E0101"/>
    <w:rsid w:val="008E2052"/>
    <w:rsid w:val="008E22D5"/>
    <w:rsid w:val="008E2592"/>
    <w:rsid w:val="008E3101"/>
    <w:rsid w:val="008E407D"/>
    <w:rsid w:val="008E5D52"/>
    <w:rsid w:val="008E6F31"/>
    <w:rsid w:val="008E723D"/>
    <w:rsid w:val="008F2EDC"/>
    <w:rsid w:val="008F3633"/>
    <w:rsid w:val="008F40F0"/>
    <w:rsid w:val="008F54BC"/>
    <w:rsid w:val="008F6559"/>
    <w:rsid w:val="00900B47"/>
    <w:rsid w:val="00901BDA"/>
    <w:rsid w:val="00902F72"/>
    <w:rsid w:val="00904FD5"/>
    <w:rsid w:val="00905804"/>
    <w:rsid w:val="00905DDF"/>
    <w:rsid w:val="00906B52"/>
    <w:rsid w:val="00912CD2"/>
    <w:rsid w:val="00913489"/>
    <w:rsid w:val="00913A38"/>
    <w:rsid w:val="00916AB9"/>
    <w:rsid w:val="00920304"/>
    <w:rsid w:val="00922303"/>
    <w:rsid w:val="00923D83"/>
    <w:rsid w:val="00926294"/>
    <w:rsid w:val="009275AE"/>
    <w:rsid w:val="00927D06"/>
    <w:rsid w:val="00930666"/>
    <w:rsid w:val="0093395C"/>
    <w:rsid w:val="00934D25"/>
    <w:rsid w:val="00936825"/>
    <w:rsid w:val="00937BB2"/>
    <w:rsid w:val="00940646"/>
    <w:rsid w:val="00941DA0"/>
    <w:rsid w:val="0094203B"/>
    <w:rsid w:val="00945443"/>
    <w:rsid w:val="0094573A"/>
    <w:rsid w:val="00946D61"/>
    <w:rsid w:val="00946F63"/>
    <w:rsid w:val="00947AC3"/>
    <w:rsid w:val="009514BC"/>
    <w:rsid w:val="00953FCA"/>
    <w:rsid w:val="00960083"/>
    <w:rsid w:val="009609DA"/>
    <w:rsid w:val="009629E9"/>
    <w:rsid w:val="00964CFF"/>
    <w:rsid w:val="0096719F"/>
    <w:rsid w:val="009730D5"/>
    <w:rsid w:val="00974A4C"/>
    <w:rsid w:val="00980EF4"/>
    <w:rsid w:val="00982DA1"/>
    <w:rsid w:val="00982F14"/>
    <w:rsid w:val="00986A25"/>
    <w:rsid w:val="009915E5"/>
    <w:rsid w:val="00993077"/>
    <w:rsid w:val="00994242"/>
    <w:rsid w:val="00995938"/>
    <w:rsid w:val="00996037"/>
    <w:rsid w:val="009A196B"/>
    <w:rsid w:val="009A3824"/>
    <w:rsid w:val="009A4295"/>
    <w:rsid w:val="009A6AE8"/>
    <w:rsid w:val="009B60ED"/>
    <w:rsid w:val="009B7B09"/>
    <w:rsid w:val="009C13C9"/>
    <w:rsid w:val="009C1EE5"/>
    <w:rsid w:val="009C29CD"/>
    <w:rsid w:val="009C4ABD"/>
    <w:rsid w:val="009D4B0D"/>
    <w:rsid w:val="009D5211"/>
    <w:rsid w:val="009D59BB"/>
    <w:rsid w:val="009E36CA"/>
    <w:rsid w:val="009E4EA2"/>
    <w:rsid w:val="009E503B"/>
    <w:rsid w:val="009E60B4"/>
    <w:rsid w:val="009E6908"/>
    <w:rsid w:val="009E76FD"/>
    <w:rsid w:val="009E7CBB"/>
    <w:rsid w:val="009F11C2"/>
    <w:rsid w:val="009F1910"/>
    <w:rsid w:val="009F2888"/>
    <w:rsid w:val="009F3957"/>
    <w:rsid w:val="009F4507"/>
    <w:rsid w:val="009F60DC"/>
    <w:rsid w:val="009F6D49"/>
    <w:rsid w:val="009F7635"/>
    <w:rsid w:val="00A01A94"/>
    <w:rsid w:val="00A0680A"/>
    <w:rsid w:val="00A06ED1"/>
    <w:rsid w:val="00A06F40"/>
    <w:rsid w:val="00A10324"/>
    <w:rsid w:val="00A12D59"/>
    <w:rsid w:val="00A132E0"/>
    <w:rsid w:val="00A1346C"/>
    <w:rsid w:val="00A13927"/>
    <w:rsid w:val="00A14F28"/>
    <w:rsid w:val="00A1532D"/>
    <w:rsid w:val="00A16DAC"/>
    <w:rsid w:val="00A178BD"/>
    <w:rsid w:val="00A228D8"/>
    <w:rsid w:val="00A25E96"/>
    <w:rsid w:val="00A270F8"/>
    <w:rsid w:val="00A27294"/>
    <w:rsid w:val="00A32FF0"/>
    <w:rsid w:val="00A373FA"/>
    <w:rsid w:val="00A37657"/>
    <w:rsid w:val="00A41A86"/>
    <w:rsid w:val="00A444CA"/>
    <w:rsid w:val="00A56239"/>
    <w:rsid w:val="00A563FF"/>
    <w:rsid w:val="00A60A14"/>
    <w:rsid w:val="00A61D61"/>
    <w:rsid w:val="00A633CE"/>
    <w:rsid w:val="00A6358C"/>
    <w:rsid w:val="00A63C51"/>
    <w:rsid w:val="00A64575"/>
    <w:rsid w:val="00A65260"/>
    <w:rsid w:val="00A6608D"/>
    <w:rsid w:val="00A673DC"/>
    <w:rsid w:val="00A73917"/>
    <w:rsid w:val="00A73EEA"/>
    <w:rsid w:val="00A75C77"/>
    <w:rsid w:val="00A77782"/>
    <w:rsid w:val="00A83B40"/>
    <w:rsid w:val="00A84B6F"/>
    <w:rsid w:val="00A84D77"/>
    <w:rsid w:val="00A8676D"/>
    <w:rsid w:val="00A86F2C"/>
    <w:rsid w:val="00A87B0E"/>
    <w:rsid w:val="00A90B3A"/>
    <w:rsid w:val="00A9393D"/>
    <w:rsid w:val="00A941B3"/>
    <w:rsid w:val="00A94314"/>
    <w:rsid w:val="00A9465C"/>
    <w:rsid w:val="00A953DC"/>
    <w:rsid w:val="00A969BF"/>
    <w:rsid w:val="00AA15E9"/>
    <w:rsid w:val="00AA1A61"/>
    <w:rsid w:val="00AA1D6D"/>
    <w:rsid w:val="00AA204A"/>
    <w:rsid w:val="00AA264C"/>
    <w:rsid w:val="00AA35F6"/>
    <w:rsid w:val="00AA588A"/>
    <w:rsid w:val="00AA6065"/>
    <w:rsid w:val="00AA7A42"/>
    <w:rsid w:val="00AB20EB"/>
    <w:rsid w:val="00AB6027"/>
    <w:rsid w:val="00AB605C"/>
    <w:rsid w:val="00AB7DAB"/>
    <w:rsid w:val="00AC0BD6"/>
    <w:rsid w:val="00AC2F8B"/>
    <w:rsid w:val="00AC4C2C"/>
    <w:rsid w:val="00AC577B"/>
    <w:rsid w:val="00AC6770"/>
    <w:rsid w:val="00AC77F3"/>
    <w:rsid w:val="00AC7BC6"/>
    <w:rsid w:val="00AD044E"/>
    <w:rsid w:val="00AD06E1"/>
    <w:rsid w:val="00AD2776"/>
    <w:rsid w:val="00AD5604"/>
    <w:rsid w:val="00AD6056"/>
    <w:rsid w:val="00AD6A4A"/>
    <w:rsid w:val="00AD7A1E"/>
    <w:rsid w:val="00AE0B18"/>
    <w:rsid w:val="00AE154D"/>
    <w:rsid w:val="00AE171B"/>
    <w:rsid w:val="00AE1B5E"/>
    <w:rsid w:val="00AE2B3F"/>
    <w:rsid w:val="00AE42FB"/>
    <w:rsid w:val="00AE4912"/>
    <w:rsid w:val="00AE6CD1"/>
    <w:rsid w:val="00AE6EA1"/>
    <w:rsid w:val="00AF0157"/>
    <w:rsid w:val="00AF2F30"/>
    <w:rsid w:val="00AF5DC3"/>
    <w:rsid w:val="00AF71DA"/>
    <w:rsid w:val="00AF7D8D"/>
    <w:rsid w:val="00AF7E4B"/>
    <w:rsid w:val="00B01B88"/>
    <w:rsid w:val="00B026AD"/>
    <w:rsid w:val="00B02B6B"/>
    <w:rsid w:val="00B05297"/>
    <w:rsid w:val="00B05580"/>
    <w:rsid w:val="00B07AE6"/>
    <w:rsid w:val="00B07E33"/>
    <w:rsid w:val="00B10468"/>
    <w:rsid w:val="00B11F3D"/>
    <w:rsid w:val="00B13EA6"/>
    <w:rsid w:val="00B14197"/>
    <w:rsid w:val="00B15806"/>
    <w:rsid w:val="00B20DD1"/>
    <w:rsid w:val="00B2243D"/>
    <w:rsid w:val="00B23820"/>
    <w:rsid w:val="00B25063"/>
    <w:rsid w:val="00B25612"/>
    <w:rsid w:val="00B2588F"/>
    <w:rsid w:val="00B26F61"/>
    <w:rsid w:val="00B26F84"/>
    <w:rsid w:val="00B2709A"/>
    <w:rsid w:val="00B30409"/>
    <w:rsid w:val="00B31233"/>
    <w:rsid w:val="00B316DC"/>
    <w:rsid w:val="00B33B06"/>
    <w:rsid w:val="00B34FC3"/>
    <w:rsid w:val="00B35930"/>
    <w:rsid w:val="00B377E2"/>
    <w:rsid w:val="00B402DC"/>
    <w:rsid w:val="00B44525"/>
    <w:rsid w:val="00B472CA"/>
    <w:rsid w:val="00B47C5F"/>
    <w:rsid w:val="00B52CE3"/>
    <w:rsid w:val="00B54977"/>
    <w:rsid w:val="00B60778"/>
    <w:rsid w:val="00B62848"/>
    <w:rsid w:val="00B63B25"/>
    <w:rsid w:val="00B63F77"/>
    <w:rsid w:val="00B65A17"/>
    <w:rsid w:val="00B65DAF"/>
    <w:rsid w:val="00B66DD6"/>
    <w:rsid w:val="00B6731A"/>
    <w:rsid w:val="00B67CC0"/>
    <w:rsid w:val="00B70C70"/>
    <w:rsid w:val="00B72D18"/>
    <w:rsid w:val="00B75347"/>
    <w:rsid w:val="00B75DBA"/>
    <w:rsid w:val="00B75E7E"/>
    <w:rsid w:val="00B81502"/>
    <w:rsid w:val="00B82367"/>
    <w:rsid w:val="00B82832"/>
    <w:rsid w:val="00B83657"/>
    <w:rsid w:val="00B83F1A"/>
    <w:rsid w:val="00B90F77"/>
    <w:rsid w:val="00B92161"/>
    <w:rsid w:val="00B9249F"/>
    <w:rsid w:val="00B93118"/>
    <w:rsid w:val="00B94A3E"/>
    <w:rsid w:val="00B94BBD"/>
    <w:rsid w:val="00B94D14"/>
    <w:rsid w:val="00B95766"/>
    <w:rsid w:val="00B962C6"/>
    <w:rsid w:val="00B96BEC"/>
    <w:rsid w:val="00BA047C"/>
    <w:rsid w:val="00BA1D1D"/>
    <w:rsid w:val="00BA21AA"/>
    <w:rsid w:val="00BA30D1"/>
    <w:rsid w:val="00BA510D"/>
    <w:rsid w:val="00BA5ADB"/>
    <w:rsid w:val="00BB2CAB"/>
    <w:rsid w:val="00BB3BA0"/>
    <w:rsid w:val="00BB4996"/>
    <w:rsid w:val="00BB6E5E"/>
    <w:rsid w:val="00BB7E19"/>
    <w:rsid w:val="00BC0D1E"/>
    <w:rsid w:val="00BC1E4C"/>
    <w:rsid w:val="00BC3D6D"/>
    <w:rsid w:val="00BD101E"/>
    <w:rsid w:val="00BD25D3"/>
    <w:rsid w:val="00BD4F7F"/>
    <w:rsid w:val="00BE0114"/>
    <w:rsid w:val="00BE0BAE"/>
    <w:rsid w:val="00BE197A"/>
    <w:rsid w:val="00BE21CC"/>
    <w:rsid w:val="00BF29F4"/>
    <w:rsid w:val="00BF30E9"/>
    <w:rsid w:val="00BF3338"/>
    <w:rsid w:val="00BF47B0"/>
    <w:rsid w:val="00BF7BC1"/>
    <w:rsid w:val="00C01BA9"/>
    <w:rsid w:val="00C01CAD"/>
    <w:rsid w:val="00C03464"/>
    <w:rsid w:val="00C0415A"/>
    <w:rsid w:val="00C05831"/>
    <w:rsid w:val="00C07F3B"/>
    <w:rsid w:val="00C12BA0"/>
    <w:rsid w:val="00C12EF1"/>
    <w:rsid w:val="00C142F5"/>
    <w:rsid w:val="00C170A9"/>
    <w:rsid w:val="00C17C3E"/>
    <w:rsid w:val="00C207F8"/>
    <w:rsid w:val="00C20F48"/>
    <w:rsid w:val="00C21FB4"/>
    <w:rsid w:val="00C23BC4"/>
    <w:rsid w:val="00C25033"/>
    <w:rsid w:val="00C32F6D"/>
    <w:rsid w:val="00C3345F"/>
    <w:rsid w:val="00C344FF"/>
    <w:rsid w:val="00C35175"/>
    <w:rsid w:val="00C35514"/>
    <w:rsid w:val="00C370A8"/>
    <w:rsid w:val="00C40075"/>
    <w:rsid w:val="00C41476"/>
    <w:rsid w:val="00C4598B"/>
    <w:rsid w:val="00C463DA"/>
    <w:rsid w:val="00C46A11"/>
    <w:rsid w:val="00C47111"/>
    <w:rsid w:val="00C5000A"/>
    <w:rsid w:val="00C509ED"/>
    <w:rsid w:val="00C5214A"/>
    <w:rsid w:val="00C52242"/>
    <w:rsid w:val="00C52549"/>
    <w:rsid w:val="00C52D85"/>
    <w:rsid w:val="00C556AD"/>
    <w:rsid w:val="00C5675B"/>
    <w:rsid w:val="00C575AD"/>
    <w:rsid w:val="00C6014E"/>
    <w:rsid w:val="00C61CD0"/>
    <w:rsid w:val="00C6280B"/>
    <w:rsid w:val="00C63672"/>
    <w:rsid w:val="00C65E92"/>
    <w:rsid w:val="00C66116"/>
    <w:rsid w:val="00C6744E"/>
    <w:rsid w:val="00C722CE"/>
    <w:rsid w:val="00C80A95"/>
    <w:rsid w:val="00C83EDF"/>
    <w:rsid w:val="00C85B28"/>
    <w:rsid w:val="00C86DED"/>
    <w:rsid w:val="00C9148A"/>
    <w:rsid w:val="00C94222"/>
    <w:rsid w:val="00C945CE"/>
    <w:rsid w:val="00C947DD"/>
    <w:rsid w:val="00C949D2"/>
    <w:rsid w:val="00C96CD7"/>
    <w:rsid w:val="00CA3F3E"/>
    <w:rsid w:val="00CA4403"/>
    <w:rsid w:val="00CA489C"/>
    <w:rsid w:val="00CA6FF4"/>
    <w:rsid w:val="00CA7421"/>
    <w:rsid w:val="00CA7AA1"/>
    <w:rsid w:val="00CB2518"/>
    <w:rsid w:val="00CB4C03"/>
    <w:rsid w:val="00CB5398"/>
    <w:rsid w:val="00CB5B4A"/>
    <w:rsid w:val="00CC0321"/>
    <w:rsid w:val="00CC2B46"/>
    <w:rsid w:val="00CC5AD5"/>
    <w:rsid w:val="00CC5E47"/>
    <w:rsid w:val="00CC5EDC"/>
    <w:rsid w:val="00CC7062"/>
    <w:rsid w:val="00CD03FC"/>
    <w:rsid w:val="00CD0584"/>
    <w:rsid w:val="00CD1F4C"/>
    <w:rsid w:val="00CD33B2"/>
    <w:rsid w:val="00CD3B19"/>
    <w:rsid w:val="00CD4217"/>
    <w:rsid w:val="00CD5324"/>
    <w:rsid w:val="00CD68CB"/>
    <w:rsid w:val="00CE312B"/>
    <w:rsid w:val="00CE41AC"/>
    <w:rsid w:val="00CE4B67"/>
    <w:rsid w:val="00CE4DEC"/>
    <w:rsid w:val="00CE4F0A"/>
    <w:rsid w:val="00CE69BC"/>
    <w:rsid w:val="00CE6ED5"/>
    <w:rsid w:val="00CF0386"/>
    <w:rsid w:val="00CF0584"/>
    <w:rsid w:val="00CF1B37"/>
    <w:rsid w:val="00CF1BE7"/>
    <w:rsid w:val="00CF290C"/>
    <w:rsid w:val="00CF4AF8"/>
    <w:rsid w:val="00CF628B"/>
    <w:rsid w:val="00CF6503"/>
    <w:rsid w:val="00CF67EF"/>
    <w:rsid w:val="00CF68AF"/>
    <w:rsid w:val="00CF7520"/>
    <w:rsid w:val="00D00273"/>
    <w:rsid w:val="00D0093F"/>
    <w:rsid w:val="00D01F5E"/>
    <w:rsid w:val="00D0386B"/>
    <w:rsid w:val="00D068CD"/>
    <w:rsid w:val="00D10078"/>
    <w:rsid w:val="00D11E23"/>
    <w:rsid w:val="00D12244"/>
    <w:rsid w:val="00D15CC7"/>
    <w:rsid w:val="00D20442"/>
    <w:rsid w:val="00D20838"/>
    <w:rsid w:val="00D20988"/>
    <w:rsid w:val="00D21538"/>
    <w:rsid w:val="00D235EC"/>
    <w:rsid w:val="00D23814"/>
    <w:rsid w:val="00D2459C"/>
    <w:rsid w:val="00D278BC"/>
    <w:rsid w:val="00D3091C"/>
    <w:rsid w:val="00D310F8"/>
    <w:rsid w:val="00D31864"/>
    <w:rsid w:val="00D32F24"/>
    <w:rsid w:val="00D3333E"/>
    <w:rsid w:val="00D34017"/>
    <w:rsid w:val="00D34A96"/>
    <w:rsid w:val="00D36769"/>
    <w:rsid w:val="00D40F6D"/>
    <w:rsid w:val="00D473C2"/>
    <w:rsid w:val="00D5176E"/>
    <w:rsid w:val="00D51A5E"/>
    <w:rsid w:val="00D520FF"/>
    <w:rsid w:val="00D542CA"/>
    <w:rsid w:val="00D55B9B"/>
    <w:rsid w:val="00D56348"/>
    <w:rsid w:val="00D60B94"/>
    <w:rsid w:val="00D62016"/>
    <w:rsid w:val="00D6345F"/>
    <w:rsid w:val="00D6751B"/>
    <w:rsid w:val="00D749CA"/>
    <w:rsid w:val="00D75504"/>
    <w:rsid w:val="00D75B7E"/>
    <w:rsid w:val="00D7762F"/>
    <w:rsid w:val="00D81207"/>
    <w:rsid w:val="00D82B7D"/>
    <w:rsid w:val="00D84108"/>
    <w:rsid w:val="00D849B2"/>
    <w:rsid w:val="00D90A75"/>
    <w:rsid w:val="00D92838"/>
    <w:rsid w:val="00D93179"/>
    <w:rsid w:val="00D9699C"/>
    <w:rsid w:val="00D96FFE"/>
    <w:rsid w:val="00DA0D92"/>
    <w:rsid w:val="00DA1A52"/>
    <w:rsid w:val="00DA24E8"/>
    <w:rsid w:val="00DA33DF"/>
    <w:rsid w:val="00DA411C"/>
    <w:rsid w:val="00DA4660"/>
    <w:rsid w:val="00DA577E"/>
    <w:rsid w:val="00DA6AF2"/>
    <w:rsid w:val="00DA6C3F"/>
    <w:rsid w:val="00DB0781"/>
    <w:rsid w:val="00DB0BF4"/>
    <w:rsid w:val="00DB1C2F"/>
    <w:rsid w:val="00DB7873"/>
    <w:rsid w:val="00DC1CA4"/>
    <w:rsid w:val="00DC449B"/>
    <w:rsid w:val="00DC55EE"/>
    <w:rsid w:val="00DC72F8"/>
    <w:rsid w:val="00DD0FC8"/>
    <w:rsid w:val="00DD36B2"/>
    <w:rsid w:val="00DD4EAF"/>
    <w:rsid w:val="00DD545C"/>
    <w:rsid w:val="00DD5AA1"/>
    <w:rsid w:val="00DD6D5C"/>
    <w:rsid w:val="00DE0001"/>
    <w:rsid w:val="00DE0DC0"/>
    <w:rsid w:val="00DE1876"/>
    <w:rsid w:val="00DE46C5"/>
    <w:rsid w:val="00DE5165"/>
    <w:rsid w:val="00DE6BCE"/>
    <w:rsid w:val="00DE6E1E"/>
    <w:rsid w:val="00DF274B"/>
    <w:rsid w:val="00DF32F8"/>
    <w:rsid w:val="00DF6D73"/>
    <w:rsid w:val="00E00073"/>
    <w:rsid w:val="00E03FBB"/>
    <w:rsid w:val="00E0411C"/>
    <w:rsid w:val="00E05906"/>
    <w:rsid w:val="00E059D8"/>
    <w:rsid w:val="00E12B15"/>
    <w:rsid w:val="00E13249"/>
    <w:rsid w:val="00E13ECE"/>
    <w:rsid w:val="00E1421C"/>
    <w:rsid w:val="00E15F1C"/>
    <w:rsid w:val="00E16DA7"/>
    <w:rsid w:val="00E20ABD"/>
    <w:rsid w:val="00E20E77"/>
    <w:rsid w:val="00E24A20"/>
    <w:rsid w:val="00E24BAD"/>
    <w:rsid w:val="00E24FFC"/>
    <w:rsid w:val="00E27420"/>
    <w:rsid w:val="00E307B0"/>
    <w:rsid w:val="00E30AF7"/>
    <w:rsid w:val="00E318CC"/>
    <w:rsid w:val="00E32075"/>
    <w:rsid w:val="00E34201"/>
    <w:rsid w:val="00E41C08"/>
    <w:rsid w:val="00E426F8"/>
    <w:rsid w:val="00E42903"/>
    <w:rsid w:val="00E4483B"/>
    <w:rsid w:val="00E45327"/>
    <w:rsid w:val="00E508F2"/>
    <w:rsid w:val="00E508FD"/>
    <w:rsid w:val="00E510EF"/>
    <w:rsid w:val="00E52D98"/>
    <w:rsid w:val="00E54DD7"/>
    <w:rsid w:val="00E552A2"/>
    <w:rsid w:val="00E56756"/>
    <w:rsid w:val="00E601AC"/>
    <w:rsid w:val="00E639CD"/>
    <w:rsid w:val="00E6532D"/>
    <w:rsid w:val="00E660F1"/>
    <w:rsid w:val="00E7148E"/>
    <w:rsid w:val="00E76127"/>
    <w:rsid w:val="00E76831"/>
    <w:rsid w:val="00E849EC"/>
    <w:rsid w:val="00E85A70"/>
    <w:rsid w:val="00E85B66"/>
    <w:rsid w:val="00E92F46"/>
    <w:rsid w:val="00E93FD5"/>
    <w:rsid w:val="00EA11CD"/>
    <w:rsid w:val="00EA390C"/>
    <w:rsid w:val="00EA42F3"/>
    <w:rsid w:val="00EB0001"/>
    <w:rsid w:val="00EB00BC"/>
    <w:rsid w:val="00EB03EA"/>
    <w:rsid w:val="00EB1DC9"/>
    <w:rsid w:val="00EB27B9"/>
    <w:rsid w:val="00EB321D"/>
    <w:rsid w:val="00EB4270"/>
    <w:rsid w:val="00EB7A89"/>
    <w:rsid w:val="00EC11B5"/>
    <w:rsid w:val="00EC464D"/>
    <w:rsid w:val="00EC724F"/>
    <w:rsid w:val="00ED003B"/>
    <w:rsid w:val="00ED4CD9"/>
    <w:rsid w:val="00ED7263"/>
    <w:rsid w:val="00ED7BC9"/>
    <w:rsid w:val="00EE127B"/>
    <w:rsid w:val="00EE131E"/>
    <w:rsid w:val="00EE1526"/>
    <w:rsid w:val="00EE19D1"/>
    <w:rsid w:val="00EE1B2F"/>
    <w:rsid w:val="00EE1F3E"/>
    <w:rsid w:val="00EE3213"/>
    <w:rsid w:val="00EE3352"/>
    <w:rsid w:val="00EE45FC"/>
    <w:rsid w:val="00EE50B4"/>
    <w:rsid w:val="00EE6341"/>
    <w:rsid w:val="00EE74AF"/>
    <w:rsid w:val="00EF238E"/>
    <w:rsid w:val="00EF62A2"/>
    <w:rsid w:val="00F00CE4"/>
    <w:rsid w:val="00F04FD7"/>
    <w:rsid w:val="00F05ECA"/>
    <w:rsid w:val="00F06BE9"/>
    <w:rsid w:val="00F06C24"/>
    <w:rsid w:val="00F07ECB"/>
    <w:rsid w:val="00F12E4F"/>
    <w:rsid w:val="00F1329F"/>
    <w:rsid w:val="00F13621"/>
    <w:rsid w:val="00F1501E"/>
    <w:rsid w:val="00F17FE7"/>
    <w:rsid w:val="00F22271"/>
    <w:rsid w:val="00F24CA9"/>
    <w:rsid w:val="00F2614B"/>
    <w:rsid w:val="00F26BD5"/>
    <w:rsid w:val="00F306B6"/>
    <w:rsid w:val="00F30B54"/>
    <w:rsid w:val="00F345B3"/>
    <w:rsid w:val="00F35573"/>
    <w:rsid w:val="00F35C02"/>
    <w:rsid w:val="00F369B9"/>
    <w:rsid w:val="00F36A46"/>
    <w:rsid w:val="00F40742"/>
    <w:rsid w:val="00F42918"/>
    <w:rsid w:val="00F455E8"/>
    <w:rsid w:val="00F4589E"/>
    <w:rsid w:val="00F47819"/>
    <w:rsid w:val="00F47BCF"/>
    <w:rsid w:val="00F51FFE"/>
    <w:rsid w:val="00F5269F"/>
    <w:rsid w:val="00F56E0F"/>
    <w:rsid w:val="00F6069E"/>
    <w:rsid w:val="00F62EC5"/>
    <w:rsid w:val="00F644CB"/>
    <w:rsid w:val="00F645E3"/>
    <w:rsid w:val="00F67E7F"/>
    <w:rsid w:val="00F72555"/>
    <w:rsid w:val="00F735B5"/>
    <w:rsid w:val="00F74390"/>
    <w:rsid w:val="00F7643F"/>
    <w:rsid w:val="00F778B7"/>
    <w:rsid w:val="00F816A7"/>
    <w:rsid w:val="00F822BB"/>
    <w:rsid w:val="00F82C06"/>
    <w:rsid w:val="00F83703"/>
    <w:rsid w:val="00F85F6B"/>
    <w:rsid w:val="00F86F89"/>
    <w:rsid w:val="00F90E5A"/>
    <w:rsid w:val="00F92CA8"/>
    <w:rsid w:val="00FA018D"/>
    <w:rsid w:val="00FA05AF"/>
    <w:rsid w:val="00FA42BC"/>
    <w:rsid w:val="00FA498E"/>
    <w:rsid w:val="00FA6FC6"/>
    <w:rsid w:val="00FB179E"/>
    <w:rsid w:val="00FB46CD"/>
    <w:rsid w:val="00FB794D"/>
    <w:rsid w:val="00FC0C2C"/>
    <w:rsid w:val="00FC1DA5"/>
    <w:rsid w:val="00FC4655"/>
    <w:rsid w:val="00FC60D7"/>
    <w:rsid w:val="00FC62D6"/>
    <w:rsid w:val="00FC637C"/>
    <w:rsid w:val="00FC7ABF"/>
    <w:rsid w:val="00FD016A"/>
    <w:rsid w:val="00FD0CCF"/>
    <w:rsid w:val="00FD152A"/>
    <w:rsid w:val="00FD3F97"/>
    <w:rsid w:val="00FD4F2C"/>
    <w:rsid w:val="00FD57C4"/>
    <w:rsid w:val="00FE04EC"/>
    <w:rsid w:val="00FE1EEA"/>
    <w:rsid w:val="00FE33ED"/>
    <w:rsid w:val="00FE3641"/>
    <w:rsid w:val="00FE3780"/>
    <w:rsid w:val="00FE4E98"/>
    <w:rsid w:val="00FF08CD"/>
    <w:rsid w:val="00FF0A63"/>
    <w:rsid w:val="00FF0CA6"/>
    <w:rsid w:val="00FF0E04"/>
    <w:rsid w:val="00FF19BC"/>
    <w:rsid w:val="00FF20C4"/>
    <w:rsid w:val="00FF2F4E"/>
    <w:rsid w:val="00FF3987"/>
    <w:rsid w:val="00FF3FA8"/>
    <w:rsid w:val="00FF4EF6"/>
    <w:rsid w:val="00FF7076"/>
    <w:rsid w:val="01E40DB6"/>
    <w:rsid w:val="02078675"/>
    <w:rsid w:val="025635F0"/>
    <w:rsid w:val="03215F66"/>
    <w:rsid w:val="0410D18A"/>
    <w:rsid w:val="045F16C8"/>
    <w:rsid w:val="0487CD16"/>
    <w:rsid w:val="050C6B8D"/>
    <w:rsid w:val="0523F4D7"/>
    <w:rsid w:val="0589E4ED"/>
    <w:rsid w:val="07730854"/>
    <w:rsid w:val="090ED8B5"/>
    <w:rsid w:val="0985C2F6"/>
    <w:rsid w:val="0B310ABA"/>
    <w:rsid w:val="0BB4A576"/>
    <w:rsid w:val="0C16E274"/>
    <w:rsid w:val="0C1FD996"/>
    <w:rsid w:val="0C441EB9"/>
    <w:rsid w:val="0D4C1283"/>
    <w:rsid w:val="0DE249D8"/>
    <w:rsid w:val="0F51B640"/>
    <w:rsid w:val="0F9D4983"/>
    <w:rsid w:val="105343BD"/>
    <w:rsid w:val="10955EB5"/>
    <w:rsid w:val="10E745ED"/>
    <w:rsid w:val="130C2F67"/>
    <w:rsid w:val="13405A99"/>
    <w:rsid w:val="134621D1"/>
    <w:rsid w:val="14490C7D"/>
    <w:rsid w:val="1540EF2D"/>
    <w:rsid w:val="15528774"/>
    <w:rsid w:val="156FA8AD"/>
    <w:rsid w:val="15CD98FB"/>
    <w:rsid w:val="15EE298F"/>
    <w:rsid w:val="16C8F796"/>
    <w:rsid w:val="17332DC9"/>
    <w:rsid w:val="17657F1D"/>
    <w:rsid w:val="17BC688F"/>
    <w:rsid w:val="18F9AAE6"/>
    <w:rsid w:val="191C15BC"/>
    <w:rsid w:val="19CF7265"/>
    <w:rsid w:val="1E3744B2"/>
    <w:rsid w:val="1ED9A6B2"/>
    <w:rsid w:val="1F52DE7C"/>
    <w:rsid w:val="1F75481F"/>
    <w:rsid w:val="1FED6297"/>
    <w:rsid w:val="2064B4D2"/>
    <w:rsid w:val="21643447"/>
    <w:rsid w:val="21951E1C"/>
    <w:rsid w:val="21D2F84C"/>
    <w:rsid w:val="24496129"/>
    <w:rsid w:val="246A75BF"/>
    <w:rsid w:val="252E01E5"/>
    <w:rsid w:val="254249BC"/>
    <w:rsid w:val="25CFC781"/>
    <w:rsid w:val="25D4EE6E"/>
    <w:rsid w:val="25E88085"/>
    <w:rsid w:val="27A1A266"/>
    <w:rsid w:val="282837B6"/>
    <w:rsid w:val="2856DFEB"/>
    <w:rsid w:val="28EB61BF"/>
    <w:rsid w:val="29B372D2"/>
    <w:rsid w:val="2A29A7C2"/>
    <w:rsid w:val="2CC27446"/>
    <w:rsid w:val="2CEA2857"/>
    <w:rsid w:val="2D14E9E8"/>
    <w:rsid w:val="2D6F7CB9"/>
    <w:rsid w:val="2DB3F87F"/>
    <w:rsid w:val="2E79F76C"/>
    <w:rsid w:val="2E80BCD7"/>
    <w:rsid w:val="2F034DD2"/>
    <w:rsid w:val="2F2E688C"/>
    <w:rsid w:val="2F4CBDFD"/>
    <w:rsid w:val="2FA577D4"/>
    <w:rsid w:val="3015C7CD"/>
    <w:rsid w:val="314CDDFD"/>
    <w:rsid w:val="3197DFED"/>
    <w:rsid w:val="31D0C897"/>
    <w:rsid w:val="334AA8B4"/>
    <w:rsid w:val="3399F4A3"/>
    <w:rsid w:val="339C2A9A"/>
    <w:rsid w:val="33C6AE89"/>
    <w:rsid w:val="33D96DB9"/>
    <w:rsid w:val="33FC8885"/>
    <w:rsid w:val="354522DA"/>
    <w:rsid w:val="35885781"/>
    <w:rsid w:val="375D85B8"/>
    <w:rsid w:val="39FA43C8"/>
    <w:rsid w:val="3A7A4E74"/>
    <w:rsid w:val="3AE8A803"/>
    <w:rsid w:val="3B2781CD"/>
    <w:rsid w:val="3B991DF1"/>
    <w:rsid w:val="3C23C669"/>
    <w:rsid w:val="3C364A77"/>
    <w:rsid w:val="3CB07965"/>
    <w:rsid w:val="3CB07D63"/>
    <w:rsid w:val="3D0DBA51"/>
    <w:rsid w:val="3E54CA36"/>
    <w:rsid w:val="3F9D1497"/>
    <w:rsid w:val="406C8F14"/>
    <w:rsid w:val="4097BB84"/>
    <w:rsid w:val="418D3E87"/>
    <w:rsid w:val="4204CD1A"/>
    <w:rsid w:val="4219CB88"/>
    <w:rsid w:val="4237742F"/>
    <w:rsid w:val="4257C909"/>
    <w:rsid w:val="425B7913"/>
    <w:rsid w:val="4260328C"/>
    <w:rsid w:val="42A58BFB"/>
    <w:rsid w:val="4309A3BD"/>
    <w:rsid w:val="4523DE2B"/>
    <w:rsid w:val="458C005E"/>
    <w:rsid w:val="4619028B"/>
    <w:rsid w:val="46501747"/>
    <w:rsid w:val="46C3DD6F"/>
    <w:rsid w:val="46D222C9"/>
    <w:rsid w:val="47379EA6"/>
    <w:rsid w:val="4748B9A5"/>
    <w:rsid w:val="47B881CF"/>
    <w:rsid w:val="48DE72F7"/>
    <w:rsid w:val="4977840D"/>
    <w:rsid w:val="498B2348"/>
    <w:rsid w:val="49AC6964"/>
    <w:rsid w:val="49EC6ED7"/>
    <w:rsid w:val="49FA316F"/>
    <w:rsid w:val="4A13164D"/>
    <w:rsid w:val="4A63E31A"/>
    <w:rsid w:val="4B1144DA"/>
    <w:rsid w:val="4B5DDA87"/>
    <w:rsid w:val="4B9601D0"/>
    <w:rsid w:val="4BD09B23"/>
    <w:rsid w:val="4C0CCA60"/>
    <w:rsid w:val="4CCE1CBF"/>
    <w:rsid w:val="4D25C056"/>
    <w:rsid w:val="4D78A716"/>
    <w:rsid w:val="4DDEF6D1"/>
    <w:rsid w:val="4F093811"/>
    <w:rsid w:val="4F43B4C6"/>
    <w:rsid w:val="4FA3CDEA"/>
    <w:rsid w:val="4FF6386C"/>
    <w:rsid w:val="503E038F"/>
    <w:rsid w:val="51819A9D"/>
    <w:rsid w:val="51A88002"/>
    <w:rsid w:val="52054354"/>
    <w:rsid w:val="524F381B"/>
    <w:rsid w:val="54C2A431"/>
    <w:rsid w:val="54E7323B"/>
    <w:rsid w:val="555CA1A2"/>
    <w:rsid w:val="564E14D9"/>
    <w:rsid w:val="57E9E53A"/>
    <w:rsid w:val="580B3337"/>
    <w:rsid w:val="58319C5D"/>
    <w:rsid w:val="58AC1478"/>
    <w:rsid w:val="5954F4A0"/>
    <w:rsid w:val="5A7ADE78"/>
    <w:rsid w:val="5BA90A64"/>
    <w:rsid w:val="5D4A2A4C"/>
    <w:rsid w:val="5ED4DAF4"/>
    <w:rsid w:val="5F0C6132"/>
    <w:rsid w:val="5F4F9464"/>
    <w:rsid w:val="5F51ED24"/>
    <w:rsid w:val="5F9CB835"/>
    <w:rsid w:val="5FFDB437"/>
    <w:rsid w:val="60F624CD"/>
    <w:rsid w:val="618A5317"/>
    <w:rsid w:val="61FEA712"/>
    <w:rsid w:val="632BD3B7"/>
    <w:rsid w:val="645EDE25"/>
    <w:rsid w:val="6572DE28"/>
    <w:rsid w:val="662DA276"/>
    <w:rsid w:val="676CB759"/>
    <w:rsid w:val="69513953"/>
    <w:rsid w:val="696B1892"/>
    <w:rsid w:val="69A34CE5"/>
    <w:rsid w:val="6A8F9C58"/>
    <w:rsid w:val="6B22410A"/>
    <w:rsid w:val="6C4601F9"/>
    <w:rsid w:val="6CD33017"/>
    <w:rsid w:val="6D5816A8"/>
    <w:rsid w:val="6D7BAA26"/>
    <w:rsid w:val="6DA7890C"/>
    <w:rsid w:val="6F19C06E"/>
    <w:rsid w:val="6F7C376B"/>
    <w:rsid w:val="708EE497"/>
    <w:rsid w:val="7099D348"/>
    <w:rsid w:val="72804D16"/>
    <w:rsid w:val="7301164D"/>
    <w:rsid w:val="73752036"/>
    <w:rsid w:val="7376850B"/>
    <w:rsid w:val="738C5028"/>
    <w:rsid w:val="73A02900"/>
    <w:rsid w:val="75FDEBBB"/>
    <w:rsid w:val="76797352"/>
    <w:rsid w:val="7723CA07"/>
    <w:rsid w:val="77695887"/>
    <w:rsid w:val="7773D89E"/>
    <w:rsid w:val="78BC2A28"/>
    <w:rsid w:val="7A16D586"/>
    <w:rsid w:val="7CB307C4"/>
    <w:rsid w:val="7CBAF54A"/>
    <w:rsid w:val="7CD83839"/>
    <w:rsid w:val="7D41E2EA"/>
    <w:rsid w:val="7D9C015D"/>
    <w:rsid w:val="7E1D6183"/>
    <w:rsid w:val="7E73CA55"/>
    <w:rsid w:val="7EFE8EFF"/>
    <w:rsid w:val="7F8BA5A4"/>
    <w:rsid w:val="7FAD8C99"/>
    <w:rsid w:val="7FC02596"/>
    <w:rsid w:val="7FD9C242"/>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994AC5"/>
  <w15:chartTrackingRefBased/>
  <w15:docId w15:val="{FC99AFE3-BB96-4B46-BBAD-5B7AECA71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97AE2"/>
    <w:pPr>
      <w:spacing w:after="0" w:line="240" w:lineRule="auto"/>
    </w:pPr>
    <w:rPr>
      <w:rFonts w:ascii="Times New Roman" w:eastAsia="MS Mincho" w:hAnsi="Times New Roman" w:cs="Times New Roman"/>
      <w:sz w:val="20"/>
      <w:szCs w:val="20"/>
      <w:lang w:val="en-GB"/>
    </w:rPr>
  </w:style>
  <w:style w:type="paragraph" w:styleId="Nadpis1">
    <w:name w:val="heading 1"/>
    <w:basedOn w:val="Normln"/>
    <w:next w:val="Normln"/>
    <w:link w:val="Nadpis1Char"/>
    <w:qFormat/>
    <w:rsid w:val="00297AE2"/>
    <w:pPr>
      <w:keepNext/>
      <w:spacing w:before="360" w:after="120"/>
      <w:outlineLvl w:val="0"/>
    </w:pPr>
    <w:rPr>
      <w:rFonts w:ascii="Arial" w:hAnsi="Arial"/>
      <w:b/>
      <w:kern w:val="28"/>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297AE2"/>
    <w:rPr>
      <w:rFonts w:ascii="Arial" w:eastAsia="MS Mincho" w:hAnsi="Arial" w:cs="Times New Roman"/>
      <w:b/>
      <w:kern w:val="28"/>
      <w:szCs w:val="20"/>
      <w:lang w:val="en-GB"/>
    </w:rPr>
  </w:style>
  <w:style w:type="paragraph" w:styleId="Zhlav">
    <w:name w:val="header"/>
    <w:basedOn w:val="Normln"/>
    <w:link w:val="ZhlavChar"/>
    <w:rsid w:val="00297AE2"/>
    <w:pPr>
      <w:tabs>
        <w:tab w:val="center" w:pos="4153"/>
        <w:tab w:val="right" w:pos="8306"/>
      </w:tabs>
    </w:pPr>
  </w:style>
  <w:style w:type="character" w:customStyle="1" w:styleId="ZhlavChar">
    <w:name w:val="Záhlaví Char"/>
    <w:basedOn w:val="Standardnpsmoodstavce"/>
    <w:link w:val="Zhlav"/>
    <w:rsid w:val="00297AE2"/>
    <w:rPr>
      <w:rFonts w:ascii="Times New Roman" w:eastAsia="MS Mincho" w:hAnsi="Times New Roman" w:cs="Times New Roman"/>
      <w:sz w:val="20"/>
      <w:szCs w:val="20"/>
      <w:lang w:val="en-GB"/>
    </w:rPr>
  </w:style>
  <w:style w:type="paragraph" w:styleId="Zpat">
    <w:name w:val="footer"/>
    <w:basedOn w:val="Normln"/>
    <w:link w:val="ZpatChar"/>
    <w:rsid w:val="00297AE2"/>
    <w:pPr>
      <w:tabs>
        <w:tab w:val="center" w:pos="4153"/>
        <w:tab w:val="right" w:pos="8306"/>
      </w:tabs>
    </w:pPr>
  </w:style>
  <w:style w:type="character" w:customStyle="1" w:styleId="ZpatChar">
    <w:name w:val="Zápatí Char"/>
    <w:basedOn w:val="Standardnpsmoodstavce"/>
    <w:link w:val="Zpat"/>
    <w:rsid w:val="00297AE2"/>
    <w:rPr>
      <w:rFonts w:ascii="Times New Roman" w:eastAsia="MS Mincho" w:hAnsi="Times New Roman" w:cs="Times New Roman"/>
      <w:sz w:val="20"/>
      <w:szCs w:val="20"/>
      <w:lang w:val="en-GB"/>
    </w:rPr>
  </w:style>
  <w:style w:type="table" w:styleId="Mkatabulky">
    <w:name w:val="Table Grid"/>
    <w:basedOn w:val="Normlntabulka"/>
    <w:rsid w:val="00297AE2"/>
    <w:pPr>
      <w:spacing w:after="0" w:line="240" w:lineRule="auto"/>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297AE2"/>
    <w:pPr>
      <w:ind w:left="720"/>
      <w:contextualSpacing/>
    </w:pPr>
  </w:style>
  <w:style w:type="character" w:styleId="Hypertextovodkaz">
    <w:name w:val="Hyperlink"/>
    <w:basedOn w:val="Standardnpsmoodstavce"/>
    <w:unhideWhenUsed/>
    <w:rsid w:val="00297AE2"/>
    <w:rPr>
      <w:color w:val="0563C1" w:themeColor="hyperlink"/>
      <w:u w:val="single"/>
    </w:rPr>
  </w:style>
  <w:style w:type="table" w:styleId="Prosttabulka5">
    <w:name w:val="Plain Table 5"/>
    <w:basedOn w:val="Normlntabulka"/>
    <w:uiPriority w:val="45"/>
    <w:rsid w:val="00297AE2"/>
    <w:pPr>
      <w:spacing w:after="0" w:line="240" w:lineRule="auto"/>
    </w:pPr>
    <w:rPr>
      <w:rFonts w:ascii="Times New Roman" w:eastAsia="MS Mincho" w:hAnsi="Times New Roman" w:cs="Times New Roman"/>
      <w:sz w:val="20"/>
      <w:szCs w:val="20"/>
      <w:lang w:eastAsia="cs-CZ"/>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Odkaznakoment">
    <w:name w:val="annotation reference"/>
    <w:basedOn w:val="Standardnpsmoodstavce"/>
    <w:uiPriority w:val="99"/>
    <w:semiHidden/>
    <w:unhideWhenUsed/>
    <w:rsid w:val="003E5B6E"/>
    <w:rPr>
      <w:sz w:val="16"/>
      <w:szCs w:val="16"/>
    </w:rPr>
  </w:style>
  <w:style w:type="paragraph" w:styleId="Textkomente">
    <w:name w:val="annotation text"/>
    <w:basedOn w:val="Normln"/>
    <w:link w:val="TextkomenteChar"/>
    <w:uiPriority w:val="99"/>
    <w:unhideWhenUsed/>
    <w:rsid w:val="003E5B6E"/>
  </w:style>
  <w:style w:type="character" w:customStyle="1" w:styleId="TextkomenteChar">
    <w:name w:val="Text komentáře Char"/>
    <w:basedOn w:val="Standardnpsmoodstavce"/>
    <w:link w:val="Textkomente"/>
    <w:uiPriority w:val="99"/>
    <w:rsid w:val="003E5B6E"/>
    <w:rPr>
      <w:rFonts w:ascii="Times New Roman" w:eastAsia="MS Mincho" w:hAnsi="Times New Roman" w:cs="Times New Roman"/>
      <w:sz w:val="20"/>
      <w:szCs w:val="20"/>
      <w:lang w:val="en-GB"/>
    </w:rPr>
  </w:style>
  <w:style w:type="paragraph" w:styleId="Pedmtkomente">
    <w:name w:val="annotation subject"/>
    <w:basedOn w:val="Textkomente"/>
    <w:next w:val="Textkomente"/>
    <w:link w:val="PedmtkomenteChar"/>
    <w:uiPriority w:val="99"/>
    <w:semiHidden/>
    <w:unhideWhenUsed/>
    <w:rsid w:val="003E5B6E"/>
    <w:rPr>
      <w:b/>
      <w:bCs/>
    </w:rPr>
  </w:style>
  <w:style w:type="character" w:customStyle="1" w:styleId="PedmtkomenteChar">
    <w:name w:val="Předmět komentáře Char"/>
    <w:basedOn w:val="TextkomenteChar"/>
    <w:link w:val="Pedmtkomente"/>
    <w:uiPriority w:val="99"/>
    <w:semiHidden/>
    <w:rsid w:val="003E5B6E"/>
    <w:rPr>
      <w:rFonts w:ascii="Times New Roman" w:eastAsia="MS Mincho" w:hAnsi="Times New Roman" w:cs="Times New Roman"/>
      <w:b/>
      <w:bCs/>
      <w:sz w:val="20"/>
      <w:szCs w:val="20"/>
      <w:lang w:val="en-GB"/>
    </w:rPr>
  </w:style>
  <w:style w:type="paragraph" w:styleId="Revize">
    <w:name w:val="Revision"/>
    <w:hidden/>
    <w:uiPriority w:val="99"/>
    <w:semiHidden/>
    <w:rsid w:val="00CF68AF"/>
    <w:pPr>
      <w:spacing w:after="0" w:line="240" w:lineRule="auto"/>
    </w:pPr>
    <w:rPr>
      <w:rFonts w:ascii="Times New Roman" w:eastAsia="MS Mincho" w:hAnsi="Times New Roman" w:cs="Times New Roman"/>
      <w:sz w:val="20"/>
      <w:szCs w:val="20"/>
      <w:lang w:val="en-GB"/>
    </w:rPr>
  </w:style>
  <w:style w:type="paragraph" w:styleId="Textbubliny">
    <w:name w:val="Balloon Text"/>
    <w:basedOn w:val="Normln"/>
    <w:link w:val="TextbublinyChar"/>
    <w:uiPriority w:val="99"/>
    <w:semiHidden/>
    <w:unhideWhenUsed/>
    <w:rsid w:val="00FC4655"/>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C4655"/>
    <w:rPr>
      <w:rFonts w:ascii="Segoe UI" w:eastAsia="MS Mincho" w:hAnsi="Segoe UI" w:cs="Segoe UI"/>
      <w:sz w:val="18"/>
      <w:szCs w:val="18"/>
      <w:lang w:val="en-GB"/>
    </w:rPr>
  </w:style>
  <w:style w:type="paragraph" w:customStyle="1" w:styleId="BodyCopy">
    <w:name w:val="Body Copy"/>
    <w:basedOn w:val="Normln"/>
    <w:qFormat/>
    <w:rsid w:val="00AE4912"/>
    <w:pPr>
      <w:autoSpaceDE w:val="0"/>
      <w:autoSpaceDN w:val="0"/>
      <w:adjustRightInd w:val="0"/>
    </w:pPr>
    <w:rPr>
      <w:rFonts w:eastAsia="Times New Roman"/>
      <w:color w:val="000000" w:themeColor="text1"/>
      <w:sz w:val="24"/>
      <w:szCs w:val="24"/>
      <w:lang w:val="en-US"/>
    </w:rPr>
  </w:style>
  <w:style w:type="paragraph" w:customStyle="1" w:styleId="pf0">
    <w:name w:val="pf0"/>
    <w:basedOn w:val="Normln"/>
    <w:rsid w:val="00C80A95"/>
    <w:pPr>
      <w:spacing w:before="100" w:beforeAutospacing="1" w:after="100" w:afterAutospacing="1"/>
    </w:pPr>
    <w:rPr>
      <w:rFonts w:eastAsia="Times New Roman"/>
      <w:sz w:val="24"/>
      <w:szCs w:val="24"/>
      <w:lang w:val="cs-CZ" w:eastAsia="cs-CZ"/>
    </w:rPr>
  </w:style>
  <w:style w:type="character" w:customStyle="1" w:styleId="cf01">
    <w:name w:val="cf01"/>
    <w:basedOn w:val="Standardnpsmoodstavce"/>
    <w:rsid w:val="00C80A95"/>
    <w:rPr>
      <w:rFonts w:ascii="Segoe UI" w:hAnsi="Segoe UI" w:cs="Segoe UI" w:hint="default"/>
      <w:sz w:val="18"/>
      <w:szCs w:val="18"/>
    </w:rPr>
  </w:style>
  <w:style w:type="character" w:customStyle="1" w:styleId="normaltextrun">
    <w:name w:val="normaltextrun"/>
    <w:basedOn w:val="Standardnpsmoodstavce"/>
    <w:rsid w:val="00B07AE6"/>
  </w:style>
  <w:style w:type="paragraph" w:customStyle="1" w:styleId="paragraph">
    <w:name w:val="paragraph"/>
    <w:basedOn w:val="Normln"/>
    <w:rsid w:val="00B07AE6"/>
    <w:pPr>
      <w:spacing w:before="100" w:beforeAutospacing="1" w:after="100" w:afterAutospacing="1"/>
    </w:pPr>
    <w:rPr>
      <w:rFonts w:eastAsia="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0784">
      <w:bodyDiv w:val="1"/>
      <w:marLeft w:val="0"/>
      <w:marRight w:val="0"/>
      <w:marTop w:val="0"/>
      <w:marBottom w:val="0"/>
      <w:divBdr>
        <w:top w:val="none" w:sz="0" w:space="0" w:color="auto"/>
        <w:left w:val="none" w:sz="0" w:space="0" w:color="auto"/>
        <w:bottom w:val="none" w:sz="0" w:space="0" w:color="auto"/>
        <w:right w:val="none" w:sz="0" w:space="0" w:color="auto"/>
      </w:divBdr>
    </w:div>
    <w:div w:id="255015324">
      <w:bodyDiv w:val="1"/>
      <w:marLeft w:val="0"/>
      <w:marRight w:val="0"/>
      <w:marTop w:val="0"/>
      <w:marBottom w:val="0"/>
      <w:divBdr>
        <w:top w:val="none" w:sz="0" w:space="0" w:color="auto"/>
        <w:left w:val="none" w:sz="0" w:space="0" w:color="auto"/>
        <w:bottom w:val="none" w:sz="0" w:space="0" w:color="auto"/>
        <w:right w:val="none" w:sz="0" w:space="0" w:color="auto"/>
      </w:divBdr>
    </w:div>
    <w:div w:id="478158321">
      <w:bodyDiv w:val="1"/>
      <w:marLeft w:val="0"/>
      <w:marRight w:val="0"/>
      <w:marTop w:val="0"/>
      <w:marBottom w:val="0"/>
      <w:divBdr>
        <w:top w:val="none" w:sz="0" w:space="0" w:color="auto"/>
        <w:left w:val="none" w:sz="0" w:space="0" w:color="auto"/>
        <w:bottom w:val="none" w:sz="0" w:space="0" w:color="auto"/>
        <w:right w:val="none" w:sz="0" w:space="0" w:color="auto"/>
      </w:divBdr>
    </w:div>
    <w:div w:id="1545017906">
      <w:bodyDiv w:val="1"/>
      <w:marLeft w:val="0"/>
      <w:marRight w:val="0"/>
      <w:marTop w:val="0"/>
      <w:marBottom w:val="0"/>
      <w:divBdr>
        <w:top w:val="none" w:sz="0" w:space="0" w:color="auto"/>
        <w:left w:val="none" w:sz="0" w:space="0" w:color="auto"/>
        <w:bottom w:val="none" w:sz="0" w:space="0" w:color="auto"/>
        <w:right w:val="none" w:sz="0" w:space="0" w:color="auto"/>
      </w:divBdr>
    </w:div>
    <w:div w:id="1719354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037425BC85BAC47A18BE758018E6255" ma:contentTypeVersion="18" ma:contentTypeDescription="Vytvoří nový dokument" ma:contentTypeScope="" ma:versionID="75911dc5898f8bf3382bb9538397d171">
  <xsd:schema xmlns:xsd="http://www.w3.org/2001/XMLSchema" xmlns:xs="http://www.w3.org/2001/XMLSchema" xmlns:p="http://schemas.microsoft.com/office/2006/metadata/properties" xmlns:ns2="d603c823-c8e5-4558-a031-867f95ca9115" xmlns:ns3="18c12310-cec0-45af-89e4-4278154c9cc2" targetNamespace="http://schemas.microsoft.com/office/2006/metadata/properties" ma:root="true" ma:fieldsID="1f783cf3c5c4023e392198bd1cb142b1" ns2:_="" ns3:_="">
    <xsd:import namespace="d603c823-c8e5-4558-a031-867f95ca9115"/>
    <xsd:import namespace="18c12310-cec0-45af-89e4-4278154c9cc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03c823-c8e5-4558-a031-867f95ca91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9edf76fd-2037-4af9-a6b2-347afe04b2f4"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8c12310-cec0-45af-89e4-4278154c9cc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6fffaca-9e71-412c-8438-7d6a9c64bbf7}" ma:internalName="TaxCatchAll" ma:showField="CatchAllData" ma:web="18c12310-cec0-45af-89e4-4278154c9cc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603c823-c8e5-4558-a031-867f95ca9115">
      <Terms xmlns="http://schemas.microsoft.com/office/infopath/2007/PartnerControls"/>
    </lcf76f155ced4ddcb4097134ff3c332f>
    <TaxCatchAll xmlns="18c12310-cec0-45af-89e4-4278154c9cc2" xsi:nil="true"/>
  </documentManagement>
</p:properties>
</file>

<file path=customXml/itemProps1.xml><?xml version="1.0" encoding="utf-8"?>
<ds:datastoreItem xmlns:ds="http://schemas.openxmlformats.org/officeDocument/2006/customXml" ds:itemID="{2A264B41-2514-469F-83F0-F3B628372D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03c823-c8e5-4558-a031-867f95ca9115"/>
    <ds:schemaRef ds:uri="18c12310-cec0-45af-89e4-4278154c9c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A4B2F31-B7CC-4E47-B4FB-04730A7FFECE}">
  <ds:schemaRefs>
    <ds:schemaRef ds:uri="http://schemas.microsoft.com/sharepoint/v3/contenttype/forms"/>
  </ds:schemaRefs>
</ds:datastoreItem>
</file>

<file path=customXml/itemProps3.xml><?xml version="1.0" encoding="utf-8"?>
<ds:datastoreItem xmlns:ds="http://schemas.openxmlformats.org/officeDocument/2006/customXml" ds:itemID="{07004119-4366-491D-89C6-241BCA0F86DF}">
  <ds:schemaRefs>
    <ds:schemaRef ds:uri="http://schemas.microsoft.com/office/2006/metadata/properties"/>
    <ds:schemaRef ds:uri="http://schemas.microsoft.com/office/infopath/2007/PartnerControls"/>
    <ds:schemaRef ds:uri="a89b7f00-e561-4f1e-a15e-56aa4f2f4d39"/>
    <ds:schemaRef ds:uri="614bfeea-c403-49a6-a87c-9708f4336871"/>
    <ds:schemaRef ds:uri="d603c823-c8e5-4558-a031-867f95ca9115"/>
    <ds:schemaRef ds:uri="18c12310-cec0-45af-89e4-4278154c9cc2"/>
  </ds:schemaRefs>
</ds:datastoreItem>
</file>

<file path=docMetadata/LabelInfo.xml><?xml version="1.0" encoding="utf-8"?>
<clbl:labelList xmlns:clbl="http://schemas.microsoft.com/office/2020/mipLabelMetadata">
  <clbl:label id="{46c5178e-a0f4-4f4d-8c40-9598e3d11860}" enabled="0" method="" siteId="{46c5178e-a0f4-4f4d-8c40-9598e3d11860}" removed="1"/>
  <clbl:label id="{8c970d48-f7b9-48b0-9606-072fbefb514d}" enabled="1" method="Standard" siteId="{049e3382-8cdc-477b-9317-951b04689668}" contentBits="0" removed="0"/>
  <clbl:label id="{9e767a3e-36d8-4341-a9b3-8a01d66037db}" enabled="1" method="Privileged" siteId="{0159e9d0-09a0-4edf-96ba-a3deea363c28}" contentBits="0" removed="0"/>
</clbl:labelList>
</file>

<file path=docProps/app.xml><?xml version="1.0" encoding="utf-8"?>
<Properties xmlns="http://schemas.openxmlformats.org/officeDocument/2006/extended-properties" xmlns:vt="http://schemas.openxmlformats.org/officeDocument/2006/docPropsVTypes">
  <Template>Normal</Template>
  <TotalTime>3</TotalTime>
  <Pages>4</Pages>
  <Words>1474</Words>
  <Characters>7787</Characters>
  <Application>Microsoft Office Word</Application>
  <DocSecurity>0</DocSecurity>
  <Lines>64</Lines>
  <Paragraphs>18</Paragraphs>
  <ScaleCrop>false</ScaleCrop>
  <Company/>
  <LinksUpToDate>false</LinksUpToDate>
  <CharactersWithSpaces>9243</CharactersWithSpaces>
  <SharedDoc>false</SharedDoc>
  <HLinks>
    <vt:vector size="12" baseType="variant">
      <vt:variant>
        <vt:i4>4128830</vt:i4>
      </vt:variant>
      <vt:variant>
        <vt:i4>3</vt:i4>
      </vt:variant>
      <vt:variant>
        <vt:i4>0</vt:i4>
      </vt:variant>
      <vt:variant>
        <vt:i4>5</vt:i4>
      </vt:variant>
      <vt:variant>
        <vt:lpwstr>https://www.pragueresearchforum.cz/press-releases/</vt:lpwstr>
      </vt:variant>
      <vt:variant>
        <vt:lpwstr/>
      </vt:variant>
      <vt:variant>
        <vt:i4>4128830</vt:i4>
      </vt:variant>
      <vt:variant>
        <vt:i4>0</vt:i4>
      </vt:variant>
      <vt:variant>
        <vt:i4>0</vt:i4>
      </vt:variant>
      <vt:variant>
        <vt:i4>5</vt:i4>
      </vt:variant>
      <vt:variant>
        <vt:lpwstr>https://www.pragueresearchforum.cz/press-releases/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Rezacova, Jana @ PRAGUE</dc:creator>
  <cp:keywords/>
  <dc:description/>
  <cp:lastModifiedBy>Tereza Vykypěl</cp:lastModifiedBy>
  <cp:revision>5</cp:revision>
  <cp:lastPrinted>2024-04-27T21:37:00Z</cp:lastPrinted>
  <dcterms:created xsi:type="dcterms:W3CDTF">2025-07-22T13:53:00Z</dcterms:created>
  <dcterms:modified xsi:type="dcterms:W3CDTF">2025-07-22T14:02:00Z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0x010100D037425BC85BAC47A18BE758018E6255</vt:lpwstr>
  </property>
  <property fmtid="{D5CDD505-2E9C-101B-9397-08002B2CF9AE}" pid="3" name="GrammarlyDocumentId">
    <vt:lpwstr>5d082dca262b15866bb02a8a255eb09e9e333b1845e4f878a2b7b583f8f15fcf</vt:lpwstr>
  </property>
  <property fmtid="{D5CDD505-2E9C-101B-9397-08002B2CF9AE}" pid="4" name="MediaServiceImageTags">
    <vt:lpwstr/>
  </property>
</Properties>
</file>