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58" w:rsidRPr="00EE4C58" w:rsidRDefault="00F74832" w:rsidP="00C51698">
      <w:pPr>
        <w:spacing w:before="100" w:beforeAutospacing="1" w:after="100" w:afterAutospacing="1" w:line="266" w:lineRule="atLeast"/>
        <w:jc w:val="both"/>
        <w:outlineLvl w:val="0"/>
        <w:rPr>
          <w:rFonts w:ascii="Invesco Interstate Bold" w:hAnsi="Invesco Interstate Bold"/>
          <w:b/>
          <w:bCs/>
          <w:sz w:val="28"/>
          <w:szCs w:val="28"/>
        </w:rPr>
      </w:pPr>
      <w:r>
        <w:rPr>
          <w:rFonts w:ascii="Invesco Interstate Bold" w:hAnsi="Invesco Interstate Bold"/>
          <w:b/>
          <w:bCs/>
          <w:sz w:val="28"/>
          <w:szCs w:val="28"/>
        </w:rPr>
        <w:t>Invesco:</w:t>
      </w:r>
      <w:r w:rsidR="007E21E9">
        <w:rPr>
          <w:rFonts w:ascii="Invesco Interstate Bold" w:hAnsi="Invesco Interstate Bold"/>
          <w:b/>
          <w:bCs/>
          <w:sz w:val="28"/>
          <w:szCs w:val="28"/>
        </w:rPr>
        <w:t xml:space="preserve"> </w:t>
      </w:r>
      <w:r w:rsidR="00EF7477">
        <w:rPr>
          <w:rFonts w:ascii="Invesco Interstate Bold" w:hAnsi="Invesco Interstate Bold"/>
          <w:b/>
          <w:bCs/>
          <w:sz w:val="28"/>
          <w:szCs w:val="28"/>
        </w:rPr>
        <w:t>Když přijde na ETF je důležitá struktura</w:t>
      </w:r>
      <w:r w:rsidR="00FB70E2">
        <w:rPr>
          <w:rFonts w:ascii="Invesco Interstate Bold" w:hAnsi="Invesco Interstate Bold"/>
          <w:b/>
          <w:bCs/>
          <w:sz w:val="28"/>
          <w:szCs w:val="28"/>
        </w:rPr>
        <w:t xml:space="preserve"> </w:t>
      </w:r>
    </w:p>
    <w:p w:rsidR="000D54B1" w:rsidRPr="000D54B1" w:rsidRDefault="00EF7477" w:rsidP="000D54B1">
      <w:pPr>
        <w:spacing w:line="360" w:lineRule="auto"/>
        <w:jc w:val="both"/>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Pokud patříte mezi miliony lidí na celém světě, kteří uvažují o vstupu do světa burzovně obchodovaných fondů (ETF), měli byste nejprve vědět všechny podrobnosti.</w:t>
      </w:r>
    </w:p>
    <w:p w:rsidR="00B41018" w:rsidRDefault="00B41018" w:rsidP="00B41018"/>
    <w:p w:rsidR="001F7607" w:rsidRPr="00FA03F4" w:rsidRDefault="00EF7477" w:rsidP="00FA03F4">
      <w:pPr>
        <w:spacing w:line="360" w:lineRule="auto"/>
        <w:jc w:val="both"/>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Co jsou ETF a k čemu slouží?</w:t>
      </w:r>
    </w:p>
    <w:p w:rsidR="00FA03F4" w:rsidRPr="00FA03F4" w:rsidRDefault="00FA03F4" w:rsidP="00FA03F4">
      <w:pPr>
        <w:spacing w:line="240" w:lineRule="auto"/>
        <w:jc w:val="both"/>
        <w:rPr>
          <w:rFonts w:ascii="Invesco Interstate Light" w:eastAsia="MS Mincho" w:hAnsi="Invesco Interstate Light" w:cs="Cambria"/>
          <w:b/>
          <w:bCs/>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ETF můžete koupit nebo prodat stejně jako akcie společnosti, tedy kdykoli během denního obchodního okna. Jsou neuvěřitelně oblíbené, protože jsou levné a nabízejí různorodou expozici vůči akciím, dluhopisům, komoditám a dalším druhům statků – někdy vše v rámci jedné investice.</w:t>
      </w:r>
    </w:p>
    <w:p w:rsidR="0040688D" w:rsidRPr="00EF7477" w:rsidRDefault="0040688D" w:rsidP="00EF7477">
      <w:pPr>
        <w:spacing w:line="24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Místo toho, abyste někomu platili a snažili se přechytračit trh, většina ETF se řídí pasivním přístupem. Snaží se kopírovat výkonnost určitého indexu, například indexu FTSE 100 ve Velké Británii nebo indexu S&amp;P 500 v USA.</w:t>
      </w:r>
    </w:p>
    <w:p w:rsidR="0040688D" w:rsidRPr="0040688D" w:rsidRDefault="0040688D" w:rsidP="0040688D">
      <w:pPr>
        <w:spacing w:line="24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Teoreticky byste si mohli sami koupit akcie každé společnosti v indexu. To by však byl náročný a nákladný úkol. Volba ETF řešení je mnohem jednodušší a finančně výhodnější. Pokud jste například optimističtí ohledně britského trhu, koupí pouhé jednoho ETF FTSE 100 získáte okamžitý podíl u 100 největších britských společností.</w:t>
      </w:r>
    </w:p>
    <w:p w:rsidR="0040688D" w:rsidRDefault="0040688D" w:rsidP="0040688D">
      <w:pPr>
        <w:spacing w:line="360" w:lineRule="auto"/>
        <w:jc w:val="both"/>
        <w:rPr>
          <w:rFonts w:ascii="Invesco Interstate Light" w:eastAsia="MS Mincho" w:hAnsi="Invesco Interstate Light"/>
          <w:sz w:val="22"/>
          <w:szCs w:val="22"/>
          <w:lang w:eastAsia="ja-JP"/>
        </w:rPr>
      </w:pPr>
    </w:p>
    <w:p w:rsidR="0040688D" w:rsidRDefault="00EF7477" w:rsidP="0040688D">
      <w:pPr>
        <w:spacing w:line="360" w:lineRule="auto"/>
        <w:jc w:val="both"/>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Jak se to dělá?</w:t>
      </w:r>
    </w:p>
    <w:p w:rsidR="00EF7477" w:rsidRDefault="00EF7477" w:rsidP="0040688D">
      <w:pPr>
        <w:spacing w:line="360" w:lineRule="auto"/>
        <w:jc w:val="both"/>
        <w:rPr>
          <w:rFonts w:ascii="Invesco Interstate Light" w:eastAsia="MS Mincho" w:hAnsi="Invesco Interstate Light" w:cs="Cambria"/>
          <w:b/>
          <w:bCs/>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ETF sledují referenční indexy (koše akcií) různými způsoby.</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Některé používají „fyzickou“ replikaci, když nakupují akcie všech společností v indexu nebo jejich reprezentativní vzorek. „Pod kapotou“ jsou tak velmi podobné referenčnímu ukazateli, který sledují.</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Fyzickým ETF se daří na velkých trzích, kde lze podkladové akcie snadno nakupovat a prodávat.</w:t>
      </w:r>
    </w:p>
    <w:p w:rsidR="00EF7477" w:rsidRDefault="00EF7477" w:rsidP="00EF7477">
      <w:pPr>
        <w:spacing w:line="360" w:lineRule="auto"/>
        <w:jc w:val="both"/>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Občas není obchodování s těmito podkladovými akciemi tak jednoduché. Na řadu přicházejí „syntetické“ nebo „swapové“ ETF.</w:t>
      </w:r>
    </w:p>
    <w:p w:rsidR="00EF7477" w:rsidRPr="00EF7477" w:rsidRDefault="00EF7477" w:rsidP="00EF7477">
      <w:pPr>
        <w:spacing w:line="360" w:lineRule="auto"/>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lastRenderedPageBreak/>
        <w:t xml:space="preserve">Namísto nákupu podkladových akcií indexu využívají swapové ETF finanční kontrakt zvaný „swap“ mezi ETF a jinou stranou – obvykle bankou – k získání stejné výkonnosti jako u indexu. </w:t>
      </w:r>
    </w:p>
    <w:p w:rsid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Banka, která swap vydává, se zavazuje dodat ETF výkonnost indexu za poplatek. Díky tomu může ETF založený na swapu sledovat index velmi přesně, a to i na náročných trzích.</w:t>
      </w:r>
    </w:p>
    <w:p w:rsid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Zatímco fyzické ETF bude vypadat velmi podobně jako index, který sleduje, akcie držené v koši swapového ETF se trochu liší.</w:t>
      </w:r>
    </w:p>
    <w:p w:rsid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Hodnota ETF je podložena košem nástrojů, který je zcela ve vlastnictví fondu; úlohou swapu je pouze vyrovnat výkonnost koše s výkonností sledovaného indexu.</w:t>
      </w:r>
    </w:p>
    <w:p w:rsid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 xml:space="preserve">Výběr správného ETF </w:t>
      </w:r>
    </w:p>
    <w:p w:rsid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Výběr mezi strukturami ETF závisí na řadě faktorů. Na některých trzích mohou swapové ETF nabídnout výhodu pro ty, kteří jsou ochotni přijmout trochu větší složitost a riziko.</w:t>
      </w:r>
    </w:p>
    <w:p w:rsidR="00EF7477" w:rsidRDefault="00EF7477" w:rsidP="00EF7477">
      <w:pPr>
        <w:spacing w:line="360" w:lineRule="auto"/>
        <w:rPr>
          <w:rFonts w:ascii="Invesco Interstate Light" w:eastAsia="MS Mincho" w:hAnsi="Invesco Interstate Light"/>
          <w:sz w:val="22"/>
          <w:szCs w:val="22"/>
          <w:lang w:eastAsia="ja-JP"/>
        </w:rPr>
      </w:pPr>
    </w:p>
    <w:p w:rsidR="00EF7477" w:rsidRDefault="00EF7477" w:rsidP="00EF7477">
      <w:pPr>
        <w:spacing w:line="360" w:lineRule="auto"/>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Například:</w:t>
      </w:r>
    </w:p>
    <w:p w:rsidR="00EF7477" w:rsidRPr="00EF7477" w:rsidRDefault="00EF7477" w:rsidP="00EF7477">
      <w:pPr>
        <w:spacing w:line="360" w:lineRule="auto"/>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V USA daňová legislativa v současné době umožňuje ETF založeným na swapech sídlících v Evropě, které replikují výnosy určitých amerických akciových indexů, vyhnout se placení srážkové daně z dividend vyplácených společnostmi v indexu. Fyzické ETF jsou naopak podrobeny daňové sazbě 15–30 % z těchto výnosů. V tomto případě mohou ETF založené na swapech překonat fyzické ETF sledující stejný index.</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To může být velmi užitečné, protože USA často tvoří velkou část vyváženého portfolia. Můžete z toho těžit i při investování do globálních akcií, protože USA tvoří přibližně 70 % indexu, jako je MSCI World Index.</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 xml:space="preserve">Na čínském trhu s akciemi typu A těží swapové ETF z jedinečné dynamiky trhu, která by mohla zvýšit výnosy investic. Důvodem jsou omezení přístupu investorů mimo Čínu na tento trh, díky čemuž swapové ETF čínských akcií třídy A dokázaly dosáhnout výrazně lepšího výkonu než indexy, které sledují. Samotný počet </w:t>
      </w:r>
      <w:r w:rsidRPr="00EF7477">
        <w:rPr>
          <w:rFonts w:ascii="Invesco Interstate Light" w:eastAsia="MS Mincho" w:hAnsi="Invesco Interstate Light"/>
          <w:sz w:val="22"/>
          <w:szCs w:val="22"/>
          <w:lang w:eastAsia="ja-JP"/>
        </w:rPr>
        <w:lastRenderedPageBreak/>
        <w:t>těžko obchodovatelných společností ve většině indexů rozvíjejících se trhů z nich činí také dobré kandidáty pro swapové ETF.</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Blíže k domovu můžete snížit náklady použitím swapových ETF pro přístup na britské a evropské akciové trhy, protože nepodléhají některým daním v některých evropských státech, které vznikají při nákupu akcií podkladových společností.</w:t>
      </w:r>
    </w:p>
    <w:p w:rsidR="00EF7477" w:rsidRPr="00EF7477" w:rsidRDefault="00EF7477" w:rsidP="00EF7477">
      <w:pPr>
        <w:spacing w:line="360" w:lineRule="auto"/>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Tyto zisky mohou být marginální, ale když se sečtou, mohou vést k mnohem většímu výsledku.</w:t>
      </w:r>
    </w:p>
    <w:p w:rsidR="00EF7477" w:rsidRDefault="00EF7477" w:rsidP="00EF7477">
      <w:pPr>
        <w:spacing w:line="360" w:lineRule="auto"/>
        <w:rPr>
          <w:rFonts w:ascii="Invesco Interstate Light" w:eastAsia="MS Mincho" w:hAnsi="Invesco Interstate Light"/>
          <w:sz w:val="22"/>
          <w:szCs w:val="22"/>
          <w:lang w:eastAsia="ja-JP"/>
        </w:rPr>
      </w:pPr>
    </w:p>
    <w:p w:rsidR="00EF7477" w:rsidRDefault="00EF7477" w:rsidP="00EF7477">
      <w:pPr>
        <w:spacing w:line="360" w:lineRule="auto"/>
        <w:rPr>
          <w:rFonts w:ascii="Invesco Interstate Light" w:eastAsia="MS Mincho" w:hAnsi="Invesco Interstate Light" w:cs="Cambria"/>
          <w:b/>
          <w:bCs/>
          <w:sz w:val="22"/>
          <w:szCs w:val="22"/>
          <w:lang w:eastAsia="ja-JP"/>
        </w:rPr>
      </w:pPr>
      <w:r w:rsidRPr="00EF7477">
        <w:rPr>
          <w:rFonts w:ascii="Invesco Interstate Light" w:eastAsia="MS Mincho" w:hAnsi="Invesco Interstate Light" w:cs="Cambria"/>
          <w:b/>
          <w:bCs/>
          <w:sz w:val="22"/>
          <w:szCs w:val="22"/>
          <w:lang w:eastAsia="ja-JP"/>
        </w:rPr>
        <w:t>Co je třeba mít na paměti</w:t>
      </w:r>
    </w:p>
    <w:p w:rsidR="00EF7477" w:rsidRPr="00EF7477" w:rsidRDefault="00EF7477" w:rsidP="00EF7477">
      <w:pPr>
        <w:spacing w:line="360" w:lineRule="auto"/>
        <w:rPr>
          <w:rFonts w:ascii="Invesco Interstate Light" w:eastAsia="MS Mincho" w:hAnsi="Invesco Interstate Light" w:cs="Cambria"/>
          <w:b/>
          <w:bCs/>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Investice do swapových ETF namísto fyzických ETF může pomoci vytěžit z portfolia maximum, aniž by došlo k dramatické změně vašeho profilu rizika/výnosu.</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Investování samozřejmě vždy představuje riziko pro váš kapitál. Největším rizikem u ETF investic je možnost, že společnosti, do kterých fond investuje, utrpí ztráty. To platí jak pro fyzické, tak pro swapové ETF.</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Dalším problémem swapových ETF je takzvané „riziko protistrany“ – možnost, že banka, na kterou se ETF spoléhá v rámci swapové smlouvy, nesplní své závazky. Pokud protistrana skutečně selže, swapová smlouva se stane bezcennou. V takovém případě by ETF záviselo na hodnotě aktiv držených v jeho koši.</w:t>
      </w:r>
    </w:p>
    <w:p w:rsid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rPr>
          <w:rFonts w:ascii="Invesco Interstate Light" w:eastAsia="MS Mincho" w:hAnsi="Invesco Interstate Light" w:cs="Cambria"/>
          <w:b/>
          <w:bCs/>
          <w:sz w:val="22"/>
          <w:szCs w:val="22"/>
          <w:lang w:eastAsia="ja-JP"/>
        </w:rPr>
      </w:pPr>
      <w:r w:rsidRPr="00EF7477">
        <w:rPr>
          <w:rFonts w:ascii="Invesco Interstate Light" w:eastAsia="MS Mincho" w:hAnsi="Invesco Interstate Light" w:cs="Cambria"/>
          <w:b/>
          <w:bCs/>
          <w:sz w:val="22"/>
          <w:szCs w:val="22"/>
          <w:lang w:eastAsia="ja-JP"/>
        </w:rPr>
        <w:t>Jak společnost Invesco snižuje toto riziko protistrany?</w:t>
      </w:r>
    </w:p>
    <w:p w:rsidR="00EF7477" w:rsidRPr="00EF7477" w:rsidRDefault="00EF7477" w:rsidP="00EF7477">
      <w:pPr>
        <w:spacing w:line="360" w:lineRule="auto"/>
        <w:rPr>
          <w:rFonts w:ascii="Invesco Interstate Light" w:eastAsia="MS Mincho" w:hAnsi="Invesco Interstate Light"/>
          <w:sz w:val="22"/>
          <w:szCs w:val="22"/>
          <w:lang w:eastAsia="ja-JP"/>
        </w:rPr>
      </w:pPr>
    </w:p>
    <w:p w:rsidR="00EF7477" w:rsidRPr="00EF7477" w:rsidRDefault="00EF7477" w:rsidP="00EF7477">
      <w:pPr>
        <w:spacing w:line="360" w:lineRule="auto"/>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1.    Do koše přijímáme pouze kvalitní cenné papíry</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Jsme velmi vybíraví, pokud jde o to, co přijímáme do našich košů. Cílem je vždy zahrnout akcie, které lze v případě potřeby snadno prodat. Nejlepší poskytovatelé ETF mají tendenci sestavovat koše, které jsou přinejmenším stejně dobré, ne-li lepší, než ty, které jsou v indexu. Obecně však veškerý svůj výkon získávají ze swapů, takže jsou závislí na bankách, pokud jde o výnosy.</w:t>
      </w:r>
    </w:p>
    <w:p w:rsidR="00EF7477" w:rsidRDefault="00EF7477" w:rsidP="00EF7477">
      <w:pPr>
        <w:spacing w:line="360" w:lineRule="auto"/>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lastRenderedPageBreak/>
        <w:t>My jsme šli ještě dál a sestavili jsme koše vysoce kvalitních akcií, které využíváme k dosažení většiny našeho výkonu. Swapy používáme pouze k doladění výsledků, abychom zajistili, že získají výnosy indexu, za které investoři zaplatili. Jsme mnohem méně závislí na bankách.</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2.    Swapy resetujeme často.</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Swapové smlouvy s našimi protistranami resetujeme – vyrovnáváme rozdíly – pokud dlužná hodnota jedné ze stran překročí určitou úroveň. Tato praxe udržuje stabilitu a omezuje částku, kterou může protistrana swapu dlužit ETF.</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3.    Protistrany swapů pravidelně hodnotíme a monitorujeme.</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Ve společnosti Invesco uplatňujeme při výběru protistran přísná finanční kritéria. Díky neustálému monitorování máme jistotu, že vybrané protistrany jsou finančně dostatečně zdravé, aby mohly plnit své závazky. V minulosti jsme z naší platformy odstranili protistrany, u nichž jsme měli obavy ohledně jejich úvěrového výhledu.</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4.</w:t>
      </w:r>
      <w:r w:rsidRPr="00EF7477">
        <w:rPr>
          <w:rFonts w:ascii="Invesco Interstate Light" w:eastAsia="MS Mincho" w:hAnsi="Invesco Interstate Light"/>
          <w:sz w:val="22"/>
          <w:szCs w:val="22"/>
          <w:lang w:eastAsia="ja-JP"/>
        </w:rPr>
        <w:tab/>
        <w:t>K omezení rizika využíváme více protistran</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Společnost Invesco má flexibilitu vybrat si pro své swapové smlouvy ETF jednu protistranu nebo několik protistran. Upřednostňujeme druhou možnost, protože využití více protistran nám pomáhá vyhnout se nadměrné závislosti na jedné bance.</w:t>
      </w:r>
    </w:p>
    <w:p w:rsidR="00EF7477" w:rsidRDefault="00EF7477" w:rsidP="00EF7477">
      <w:pPr>
        <w:spacing w:line="360" w:lineRule="auto"/>
        <w:rPr>
          <w:rFonts w:ascii="Invesco Interstate Light" w:eastAsia="MS Mincho" w:hAnsi="Invesco Interstate Light"/>
          <w:b/>
          <w:bCs/>
          <w:sz w:val="22"/>
          <w:szCs w:val="22"/>
          <w:lang w:eastAsia="ja-JP"/>
        </w:rPr>
      </w:pPr>
      <w:r w:rsidRPr="00EF7477">
        <w:rPr>
          <w:rFonts w:ascii="Invesco Interstate Light" w:eastAsia="MS Mincho" w:hAnsi="Invesco Interstate Light"/>
          <w:sz w:val="22"/>
          <w:szCs w:val="22"/>
          <w:lang w:eastAsia="ja-JP"/>
        </w:rPr>
        <w:br/>
      </w:r>
      <w:r w:rsidRPr="00EF7477">
        <w:rPr>
          <w:rFonts w:ascii="Invesco Interstate Light" w:eastAsia="MS Mincho" w:hAnsi="Invesco Interstate Light"/>
          <w:b/>
          <w:bCs/>
          <w:sz w:val="22"/>
          <w:szCs w:val="22"/>
          <w:lang w:eastAsia="ja-JP"/>
        </w:rPr>
        <w:t>Znalosti znamenají sílu</w:t>
      </w:r>
    </w:p>
    <w:p w:rsidR="00EF7477" w:rsidRPr="00EF7477" w:rsidRDefault="00EF7477" w:rsidP="00EF7477">
      <w:pPr>
        <w:spacing w:line="360" w:lineRule="auto"/>
        <w:rPr>
          <w:rFonts w:ascii="Invesco Interstate Light" w:eastAsia="MS Mincho" w:hAnsi="Invesco Interstate Light"/>
          <w:b/>
          <w:bCs/>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Fyzické i swapové ETF mohou představovat stavební kámen pro dobře diverzifikované portfolio. Při rozhodování začněte tím, kam chcete investovat, a poté se podívejte na možnosti ETF. Pokud je k dispozici swapové ETF, pravděpodobně k tomu existuje dobrý důvod. Existují daňové nebo nákladové výhody, kterých byste mohli využít?</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Rostoucí popularita swapových ETF ukazuje, že investoři jsou ochotni zkoušet různé přístupy na určitých trzích, tedy pokud existuje šance na lepší výnosy.</w:t>
      </w:r>
    </w:p>
    <w:p w:rsidR="00EF7477" w:rsidRPr="00EF7477" w:rsidRDefault="00EF7477" w:rsidP="00EF7477">
      <w:pPr>
        <w:spacing w:line="360" w:lineRule="auto"/>
        <w:jc w:val="both"/>
        <w:rPr>
          <w:rFonts w:ascii="Invesco Interstate Light" w:eastAsia="MS Mincho" w:hAnsi="Invesco Interstate Light"/>
          <w:sz w:val="22"/>
          <w:szCs w:val="22"/>
          <w:lang w:eastAsia="ja-JP"/>
        </w:rPr>
      </w:pPr>
    </w:p>
    <w:p w:rsidR="00EF7477" w:rsidRPr="00EF7477" w:rsidRDefault="00EF7477" w:rsidP="00EF7477">
      <w:pPr>
        <w:spacing w:line="360" w:lineRule="auto"/>
        <w:jc w:val="both"/>
        <w:rPr>
          <w:rFonts w:ascii="Invesco Interstate Light" w:eastAsia="MS Mincho" w:hAnsi="Invesco Interstate Light"/>
          <w:sz w:val="22"/>
          <w:szCs w:val="22"/>
          <w:lang w:eastAsia="ja-JP"/>
        </w:rPr>
      </w:pPr>
      <w:r w:rsidRPr="00EF7477">
        <w:rPr>
          <w:rFonts w:ascii="Invesco Interstate Light" w:eastAsia="MS Mincho" w:hAnsi="Invesco Interstate Light"/>
          <w:sz w:val="22"/>
          <w:szCs w:val="22"/>
          <w:lang w:eastAsia="ja-JP"/>
        </w:rPr>
        <w:t xml:space="preserve">„Neexistuje zde ale žádné univerzální řešení. Pochopení konkrétních možností vám pomůže udělat informované rozhodnutí při sestavování portfolia tak, aby co nejlépe vyhovovalo vašim preferencím a cílům,“ uzavírá </w:t>
      </w:r>
      <w:r w:rsidR="003C220C">
        <w:rPr>
          <w:rFonts w:ascii="Invesco Interstate Light" w:eastAsia="MS Mincho" w:hAnsi="Invesco Interstate Light"/>
          <w:sz w:val="22"/>
          <w:szCs w:val="22"/>
          <w:lang w:eastAsia="ja-JP"/>
        </w:rPr>
        <w:t xml:space="preserve">Eva Miklášová, </w:t>
      </w:r>
      <w:r w:rsidR="003C220C" w:rsidRPr="003C220C">
        <w:rPr>
          <w:rFonts w:ascii="Invesco Interstate Light" w:eastAsia="MS Mincho" w:hAnsi="Invesco Interstate Light"/>
          <w:sz w:val="22"/>
          <w:szCs w:val="22"/>
          <w:lang w:eastAsia="ja-JP"/>
        </w:rPr>
        <w:t>vedoucí obchod</w:t>
      </w:r>
      <w:r w:rsidR="000E6B68">
        <w:rPr>
          <w:rFonts w:ascii="Invesco Interstate Light" w:eastAsia="MS Mincho" w:hAnsi="Invesco Interstate Light"/>
          <w:sz w:val="22"/>
          <w:szCs w:val="22"/>
          <w:lang w:eastAsia="ja-JP"/>
        </w:rPr>
        <w:t>ů s</w:t>
      </w:r>
      <w:r w:rsidR="003C220C" w:rsidRPr="003C220C">
        <w:rPr>
          <w:rFonts w:ascii="Invesco Interstate Light" w:eastAsia="MS Mincho" w:hAnsi="Invesco Interstate Light"/>
          <w:sz w:val="22"/>
          <w:szCs w:val="22"/>
          <w:lang w:eastAsia="ja-JP"/>
        </w:rPr>
        <w:t xml:space="preserve"> ETF pro Rakousko a střední a východní Evropu</w:t>
      </w:r>
      <w:r w:rsidR="003C220C">
        <w:rPr>
          <w:rFonts w:ascii="Invesco Interstate Light" w:eastAsia="MS Mincho" w:hAnsi="Invesco Interstate Light"/>
          <w:sz w:val="22"/>
          <w:szCs w:val="22"/>
          <w:lang w:eastAsia="ja-JP"/>
        </w:rPr>
        <w:t>.</w:t>
      </w:r>
    </w:p>
    <w:p w:rsidR="00B41018" w:rsidRDefault="00B41018" w:rsidP="00651AAE">
      <w:pPr>
        <w:autoSpaceDE w:val="0"/>
        <w:autoSpaceDN w:val="0"/>
        <w:adjustRightInd w:val="0"/>
        <w:spacing w:line="240" w:lineRule="auto"/>
        <w:rPr>
          <w:rFonts w:ascii="Invesco Interstate Light" w:eastAsia="MS Mincho" w:hAnsi="Invesco Interstate Light"/>
          <w:sz w:val="22"/>
          <w:szCs w:val="22"/>
          <w:lang w:eastAsia="ja-JP"/>
        </w:rPr>
      </w:pPr>
    </w:p>
    <w:p w:rsidR="00EF7477" w:rsidRDefault="00EF7477" w:rsidP="00651AAE">
      <w:pPr>
        <w:autoSpaceDE w:val="0"/>
        <w:autoSpaceDN w:val="0"/>
        <w:adjustRightInd w:val="0"/>
        <w:spacing w:line="240" w:lineRule="auto"/>
        <w:rPr>
          <w:rFonts w:ascii="Invesco Interstate Light" w:hAnsi="Invesco Interstate Light"/>
          <w:b/>
          <w:bCs/>
          <w:sz w:val="22"/>
          <w:szCs w:val="22"/>
        </w:rPr>
      </w:pPr>
    </w:p>
    <w:p w:rsidR="00497B07" w:rsidRPr="00654055" w:rsidRDefault="4E481D2D" w:rsidP="00651AAE">
      <w:pPr>
        <w:autoSpaceDE w:val="0"/>
        <w:autoSpaceDN w:val="0"/>
        <w:adjustRightInd w:val="0"/>
        <w:spacing w:line="240" w:lineRule="auto"/>
        <w:rPr>
          <w:rFonts w:ascii="Invesco Interstate Light" w:hAnsi="Invesco Interstate Light"/>
          <w:b/>
          <w:bCs/>
          <w:sz w:val="22"/>
          <w:szCs w:val="22"/>
        </w:rPr>
      </w:pPr>
      <w:r w:rsidRPr="00654055">
        <w:rPr>
          <w:rFonts w:ascii="Invesco Interstate Light" w:hAnsi="Invesco Interstate Light"/>
          <w:b/>
          <w:bCs/>
          <w:sz w:val="22"/>
          <w:szCs w:val="22"/>
        </w:rPr>
        <w:lastRenderedPageBreak/>
        <w:t>O společnosti Invesco</w:t>
      </w:r>
    </w:p>
    <w:p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Invesco Asset Management Deutschland GmbH, Invesco Asset Management Österreich – pobočka pobočky Invesco Asset Management Deutschland GmbH</w:t>
      </w:r>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jsou součástí Invesco Ltd., společnosti pro správu aktiv se spravovanými aktivy v hodnotě více než 1 593 miliard USD (k 31. říjnu 2021).</w:t>
      </w:r>
    </w:p>
    <w:p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 případě jakýchkoli dotazů nebo potřeby dalších informací se obraťte na společnost Invesco Asset Management Deutschland GmbH, Valentin Jakubow, telefon +49 69 29807-311.</w:t>
      </w:r>
    </w:p>
    <w:p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Vydavatelem těchto informací v České republice je společnost Invesco Asset Management Deutschland GmbH, An der Welle 5, D-60322 Frankfurt nad Mohanem.</w:t>
      </w:r>
      <w:r>
        <w:rPr>
          <w:rFonts w:ascii="Invesco Interstate Light" w:hAnsi="Invesco Interstate Light"/>
          <w:sz w:val="22"/>
          <w:szCs w:val="22"/>
        </w:rPr>
        <w:t xml:space="preserve"> </w:t>
      </w:r>
      <w:r w:rsidRPr="000E12B4">
        <w:rPr>
          <w:rFonts w:ascii="Invesco Interstate Light" w:hAnsi="Invesco Interstate Light"/>
          <w:sz w:val="22"/>
          <w:szCs w:val="22"/>
        </w:rPr>
        <w:t>Red Oak ID: 1958016</w:t>
      </w:r>
    </w:p>
    <w:p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gsm: + 420 720 406 659</w:t>
      </w:r>
    </w:p>
    <w:p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1" w:history="1">
        <w:r w:rsidRPr="00873CBF">
          <w:rPr>
            <w:rFonts w:ascii="Invesco Interstate Light" w:hAnsi="Invesco Interstate Light"/>
            <w:sz w:val="22"/>
            <w:szCs w:val="22"/>
          </w:rPr>
          <w:t>eliska.krohova@crestcom.cz</w:t>
        </w:r>
      </w:hyperlink>
    </w:p>
    <w:sectPr w:rsidR="00B84512" w:rsidRPr="00907B79" w:rsidSect="004854C2">
      <w:headerReference w:type="default" r:id="rId12"/>
      <w:pgSz w:w="11906" w:h="16838" w:code="9"/>
      <w:pgMar w:top="3062" w:right="926" w:bottom="1049" w:left="1361"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AF" w:rsidRDefault="00616AAF">
      <w:r>
        <w:separator/>
      </w:r>
    </w:p>
  </w:endnote>
  <w:endnote w:type="continuationSeparator" w:id="0">
    <w:p w:rsidR="00616AAF" w:rsidRDefault="00616AAF">
      <w:r>
        <w:continuationSeparator/>
      </w:r>
    </w:p>
  </w:endnote>
  <w:endnote w:type="continuationNotice" w:id="1">
    <w:p w:rsidR="00616AAF" w:rsidRDefault="00616AAF">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AF" w:rsidRDefault="00616AAF">
      <w:r>
        <w:separator/>
      </w:r>
    </w:p>
  </w:footnote>
  <w:footnote w:type="continuationSeparator" w:id="0">
    <w:p w:rsidR="00616AAF" w:rsidRDefault="00616AAF">
      <w:r>
        <w:continuationSeparator/>
      </w:r>
    </w:p>
  </w:footnote>
  <w:footnote w:type="continuationNotice" w:id="1">
    <w:p w:rsidR="00616AAF" w:rsidRDefault="00616AAF">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3" w:rsidRPr="00DD40A4" w:rsidRDefault="00702C33" w:rsidP="00F01B90">
    <w:pPr>
      <w:pStyle w:val="Header"/>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0945" cy="895350"/>
                  </a:xfrm>
                  <a:prstGeom prst="rect">
                    <a:avLst/>
                  </a:prstGeom>
                  <a:noFill/>
                  <a:ln>
                    <a:noFill/>
                  </a:ln>
                </pic:spPr>
              </pic:pic>
            </a:graphicData>
          </a:graphic>
        </wp:anchor>
      </w:drawing>
    </w:r>
    <w:r w:rsidR="59A5D358">
      <w:rPr>
        <w:rFonts w:ascii="Invesco Interstate Bold" w:hAnsi="Invesco Interstate Bold"/>
        <w:sz w:val="28"/>
        <w:szCs w:val="28"/>
      </w:rPr>
      <w:t>Press release</w:t>
    </w:r>
  </w:p>
  <w:p w:rsidR="00702C33" w:rsidRPr="000730A6" w:rsidRDefault="00702C33" w:rsidP="00F01B90">
    <w:pPr>
      <w:pStyle w:val="Header"/>
      <w:pBdr>
        <w:top w:val="single" w:sz="4" w:space="3" w:color="auto"/>
      </w:pBdr>
      <w:spacing w:line="298" w:lineRule="exact"/>
      <w:ind w:left="3402"/>
      <w:rPr>
        <w:color w:val="000000"/>
        <w:sz w:val="28"/>
        <w:szCs w:val="28"/>
      </w:rPr>
    </w:pPr>
  </w:p>
  <w:p w:rsidR="00702C33" w:rsidRPr="000730A6" w:rsidRDefault="00EF7477" w:rsidP="0083625E">
    <w:pPr>
      <w:pStyle w:val="Header"/>
      <w:pBdr>
        <w:top w:val="single" w:sz="4" w:space="3" w:color="auto"/>
      </w:pBdr>
      <w:spacing w:line="298" w:lineRule="exact"/>
      <w:ind w:left="3402"/>
      <w:jc w:val="right"/>
      <w:rPr>
        <w:color w:val="000000"/>
        <w:sz w:val="28"/>
        <w:szCs w:val="28"/>
      </w:rPr>
    </w:pPr>
    <w:r>
      <w:rPr>
        <w:color w:val="000000"/>
        <w:sz w:val="28"/>
        <w:szCs w:val="28"/>
      </w:rPr>
      <w:t>25</w:t>
    </w:r>
    <w:r w:rsidR="0083625E">
      <w:rPr>
        <w:color w:val="000000"/>
        <w:sz w:val="28"/>
        <w:szCs w:val="28"/>
      </w:rPr>
      <w:t>.</w:t>
    </w:r>
    <w:r>
      <w:rPr>
        <w:color w:val="000000"/>
        <w:sz w:val="28"/>
        <w:szCs w:val="28"/>
      </w:rPr>
      <w:t>7</w:t>
    </w:r>
    <w:r w:rsidR="00BE4A7F">
      <w:rPr>
        <w:color w:val="000000"/>
        <w:sz w:val="28"/>
        <w:szCs w:val="28"/>
      </w:rPr>
      <w:t>.</w:t>
    </w:r>
    <w:r w:rsidR="0083625E">
      <w:rPr>
        <w:color w:val="000000"/>
        <w:sz w:val="28"/>
        <w:szCs w:val="28"/>
      </w:rPr>
      <w:t>202</w:t>
    </w:r>
    <w:r w:rsidR="00055A79">
      <w:rPr>
        <w:color w:val="000000"/>
        <w:sz w:val="28"/>
        <w:szCs w:val="28"/>
      </w:rPr>
      <w:t>5</w:t>
    </w:r>
  </w:p>
  <w:p w:rsidR="00702C33" w:rsidRPr="000730A6" w:rsidRDefault="00702C33" w:rsidP="00EB6787">
    <w:pPr>
      <w:pStyle w:val="Header"/>
      <w:pBdr>
        <w:top w:val="single" w:sz="4" w:space="3" w:color="auto"/>
      </w:pBdr>
      <w:spacing w:line="298" w:lineRule="exact"/>
      <w:ind w:left="3402"/>
      <w:jc w:val="right"/>
      <w:rPr>
        <w:color w:val="000000"/>
        <w:sz w:val="23"/>
        <w:szCs w:val="23"/>
      </w:rPr>
    </w:pPr>
  </w:p>
  <w:p w:rsidR="00702C33" w:rsidRPr="000730A6" w:rsidRDefault="00702C33" w:rsidP="00EB6787">
    <w:pPr>
      <w:pStyle w:val="Header"/>
      <w:pBdr>
        <w:top w:val="single" w:sz="4" w:space="3" w:color="auto"/>
      </w:pBdr>
      <w:spacing w:line="298" w:lineRule="exact"/>
      <w:ind w:left="3402"/>
      <w:jc w:val="right"/>
      <w:rPr>
        <w:color w:val="000000"/>
        <w:sz w:val="23"/>
        <w:szCs w:val="23"/>
      </w:rPr>
    </w:pPr>
  </w:p>
  <w:p w:rsidR="00702C33" w:rsidRPr="000730A6" w:rsidRDefault="00702C33" w:rsidP="00EB6787">
    <w:pPr>
      <w:pStyle w:val="Header"/>
      <w:pBdr>
        <w:top w:val="single" w:sz="4" w:space="3" w:color="auto"/>
      </w:pBdr>
      <w:spacing w:line="298" w:lineRule="exact"/>
      <w:ind w:left="3402"/>
      <w:jc w:val="right"/>
      <w:rPr>
        <w:color w:val="000000"/>
        <w:sz w:val="23"/>
        <w:szCs w:val="23"/>
      </w:rPr>
    </w:pPr>
  </w:p>
  <w:p w:rsidR="00702C33" w:rsidRPr="00DD40A4" w:rsidRDefault="00702C33" w:rsidP="00EB6787">
    <w:pPr>
      <w:pStyle w:val="Header"/>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26F1666"/>
    <w:multiLevelType w:val="multilevel"/>
    <w:tmpl w:val="11820CCE"/>
    <w:numStyleLink w:val="FormatvorlageAufgezhlt"/>
  </w:abstractNum>
  <w:abstractNum w:abstractNumId="2">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A46D70"/>
    <w:multiLevelType w:val="multilevel"/>
    <w:tmpl w:val="11820CCE"/>
    <w:numStyleLink w:val="FormatvorlageAufgezhlt"/>
  </w:abstractNum>
  <w:abstractNum w:abstractNumId="15">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D630B23"/>
    <w:multiLevelType w:val="multilevel"/>
    <w:tmpl w:val="11820CCE"/>
    <w:numStyleLink w:val="FormatvorlageAufgezhlt"/>
  </w:abstractNum>
  <w:abstractNum w:abstractNumId="21">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BD403C3"/>
    <w:multiLevelType w:val="multilevel"/>
    <w:tmpl w:val="11820CCE"/>
    <w:numStyleLink w:val="FormatvorlageAufgezhlt"/>
  </w:abstractNum>
  <w:abstractNum w:abstractNumId="30">
    <w:nsid w:val="6C6C4721"/>
    <w:multiLevelType w:val="multilevel"/>
    <w:tmpl w:val="11820CCE"/>
    <w:numStyleLink w:val="FormatvorlageAufgezhlt"/>
  </w:abstractNum>
  <w:abstractNum w:abstractNumId="31">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4E5380B"/>
    <w:multiLevelType w:val="multilevel"/>
    <w:tmpl w:val="11820CCE"/>
    <w:numStyleLink w:val="FormatvorlageAufgezhlt"/>
  </w:abstractNum>
  <w:abstractNum w:abstractNumId="33">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6"/>
  </w:num>
  <w:num w:numId="4">
    <w:abstractNumId w:val="17"/>
  </w:num>
  <w:num w:numId="5">
    <w:abstractNumId w:val="20"/>
  </w:num>
  <w:num w:numId="6">
    <w:abstractNumId w:val="29"/>
  </w:num>
  <w:num w:numId="7">
    <w:abstractNumId w:val="30"/>
  </w:num>
  <w:num w:numId="8">
    <w:abstractNumId w:val="1"/>
  </w:num>
  <w:num w:numId="9">
    <w:abstractNumId w:val="32"/>
  </w:num>
  <w:num w:numId="10">
    <w:abstractNumId w:val="14"/>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9"/>
  </w:num>
  <w:num w:numId="15">
    <w:abstractNumId w:val="25"/>
  </w:num>
  <w:num w:numId="16">
    <w:abstractNumId w:val="9"/>
  </w:num>
  <w:num w:numId="17">
    <w:abstractNumId w:val="2"/>
  </w:num>
  <w:num w:numId="18">
    <w:abstractNumId w:val="28"/>
  </w:num>
  <w:num w:numId="19">
    <w:abstractNumId w:val="31"/>
  </w:num>
  <w:num w:numId="20">
    <w:abstractNumId w:val="36"/>
  </w:num>
  <w:num w:numId="21">
    <w:abstractNumId w:val="34"/>
  </w:num>
  <w:num w:numId="22">
    <w:abstractNumId w:val="13"/>
  </w:num>
  <w:num w:numId="23">
    <w:abstractNumId w:val="24"/>
  </w:num>
  <w:num w:numId="24">
    <w:abstractNumId w:val="18"/>
  </w:num>
  <w:num w:numId="25">
    <w:abstractNumId w:val="37"/>
  </w:num>
  <w:num w:numId="26">
    <w:abstractNumId w:val="23"/>
  </w:num>
  <w:num w:numId="27">
    <w:abstractNumId w:val="3"/>
  </w:num>
  <w:num w:numId="28">
    <w:abstractNumId w:val="7"/>
  </w:num>
  <w:num w:numId="29">
    <w:abstractNumId w:val="33"/>
  </w:num>
  <w:num w:numId="30">
    <w:abstractNumId w:val="11"/>
  </w:num>
  <w:num w:numId="31">
    <w:abstractNumId w:val="8"/>
  </w:num>
  <w:num w:numId="32">
    <w:abstractNumId w:val="15"/>
  </w:num>
  <w:num w:numId="33">
    <w:abstractNumId w:val="22"/>
  </w:num>
  <w:num w:numId="34">
    <w:abstractNumId w:val="19"/>
  </w:num>
  <w:num w:numId="35">
    <w:abstractNumId w:val="21"/>
  </w:num>
  <w:num w:numId="36">
    <w:abstractNumId w:val="6"/>
  </w:num>
  <w:num w:numId="37">
    <w:abstractNumId w:val="12"/>
  </w:num>
  <w:num w:numId="38">
    <w:abstractNumId w:val="35"/>
  </w:num>
  <w:num w:numId="39">
    <w:abstractNumId w:val="27"/>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6" w:nlCheck="1" w:checkStyle="1"/>
  <w:activeWritingStyle w:appName="MSWord" w:lang="cs-CZ" w:vendorID="64" w:dllVersion="4096" w:nlCheck="1" w:checkStyle="0"/>
  <w:activeWritingStyle w:appName="MSWord" w:lang="cs-CZ"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defaultTabStop w:val="709"/>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F628F9"/>
    <w:rsid w:val="00000468"/>
    <w:rsid w:val="0000077A"/>
    <w:rsid w:val="00000B2C"/>
    <w:rsid w:val="00001A70"/>
    <w:rsid w:val="00001C6F"/>
    <w:rsid w:val="00002567"/>
    <w:rsid w:val="00002E94"/>
    <w:rsid w:val="00003DC5"/>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B6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25A4"/>
    <w:rsid w:val="001E290E"/>
    <w:rsid w:val="001E3CFF"/>
    <w:rsid w:val="001E411A"/>
    <w:rsid w:val="001E43C4"/>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2109"/>
    <w:rsid w:val="00362710"/>
    <w:rsid w:val="003647F8"/>
    <w:rsid w:val="0036569C"/>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220C"/>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90D"/>
    <w:rsid w:val="003F7E5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8B1"/>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16AAF"/>
    <w:rsid w:val="00620290"/>
    <w:rsid w:val="00620A19"/>
    <w:rsid w:val="00621F2F"/>
    <w:rsid w:val="00624F63"/>
    <w:rsid w:val="00625088"/>
    <w:rsid w:val="00625117"/>
    <w:rsid w:val="006254BE"/>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868"/>
    <w:rsid w:val="00750BA7"/>
    <w:rsid w:val="00750BC7"/>
    <w:rsid w:val="0075126B"/>
    <w:rsid w:val="00751AED"/>
    <w:rsid w:val="00751E4A"/>
    <w:rsid w:val="0075204D"/>
    <w:rsid w:val="00752265"/>
    <w:rsid w:val="0075320C"/>
    <w:rsid w:val="00753466"/>
    <w:rsid w:val="0075360F"/>
    <w:rsid w:val="00753DCE"/>
    <w:rsid w:val="00753F28"/>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5194"/>
    <w:rsid w:val="00796178"/>
    <w:rsid w:val="00797192"/>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D6"/>
    <w:rsid w:val="0083615A"/>
    <w:rsid w:val="0083625E"/>
    <w:rsid w:val="0083655A"/>
    <w:rsid w:val="008371C9"/>
    <w:rsid w:val="0083729E"/>
    <w:rsid w:val="008376C9"/>
    <w:rsid w:val="008408DE"/>
    <w:rsid w:val="0084257D"/>
    <w:rsid w:val="0084263F"/>
    <w:rsid w:val="008427A0"/>
    <w:rsid w:val="00842B32"/>
    <w:rsid w:val="00842EE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60260"/>
    <w:rsid w:val="00860B32"/>
    <w:rsid w:val="00860F0D"/>
    <w:rsid w:val="00860F0F"/>
    <w:rsid w:val="00860F8C"/>
    <w:rsid w:val="00861B48"/>
    <w:rsid w:val="00861B8F"/>
    <w:rsid w:val="00861D78"/>
    <w:rsid w:val="00862029"/>
    <w:rsid w:val="008625A7"/>
    <w:rsid w:val="00862A59"/>
    <w:rsid w:val="0086305E"/>
    <w:rsid w:val="008636F3"/>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6377"/>
    <w:rsid w:val="00936836"/>
    <w:rsid w:val="00936A7D"/>
    <w:rsid w:val="00937386"/>
    <w:rsid w:val="00937510"/>
    <w:rsid w:val="00937600"/>
    <w:rsid w:val="00937ABB"/>
    <w:rsid w:val="0094012C"/>
    <w:rsid w:val="00940878"/>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EDB"/>
    <w:rsid w:val="00960FD2"/>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C1B"/>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1805"/>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3B2"/>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1B7"/>
    <w:rsid w:val="00B9466B"/>
    <w:rsid w:val="00B946AB"/>
    <w:rsid w:val="00B95593"/>
    <w:rsid w:val="00B95CB1"/>
    <w:rsid w:val="00B95ED8"/>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858"/>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5D86"/>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154F"/>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6C"/>
    <w:rsid w:val="00D62166"/>
    <w:rsid w:val="00D62DDB"/>
    <w:rsid w:val="00D630FA"/>
    <w:rsid w:val="00D631C3"/>
    <w:rsid w:val="00D63C0B"/>
    <w:rsid w:val="00D6401C"/>
    <w:rsid w:val="00D669B3"/>
    <w:rsid w:val="00D66A0A"/>
    <w:rsid w:val="00D66EBA"/>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DA9"/>
    <w:rsid w:val="00DA0DE3"/>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498D"/>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24CB"/>
    <w:rsid w:val="00E133F7"/>
    <w:rsid w:val="00E13780"/>
    <w:rsid w:val="00E13BED"/>
    <w:rsid w:val="00E1452B"/>
    <w:rsid w:val="00E153B3"/>
    <w:rsid w:val="00E15BC5"/>
    <w:rsid w:val="00E16340"/>
    <w:rsid w:val="00E1713C"/>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49C"/>
    <w:rsid w:val="00EA2639"/>
    <w:rsid w:val="00EA297F"/>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EF7477"/>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96F"/>
    <w:rsid w:val="00FD6A86"/>
    <w:rsid w:val="00FE0580"/>
    <w:rsid w:val="00FE0582"/>
    <w:rsid w:val="00FE1044"/>
    <w:rsid w:val="00FE1EE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E481D2D"/>
    <w:rsid w:val="59A5D358"/>
    <w:rsid w:val="61727A13"/>
    <w:rsid w:val="7971D091"/>
    <w:rsid w:val="7C0A1A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59A5D358"/>
    <w:pPr>
      <w:spacing w:line="210" w:lineRule="exact"/>
    </w:pPr>
    <w:rPr>
      <w:rFonts w:ascii="Interstate-Light" w:hAnsi="Interstate-Light"/>
      <w:sz w:val="18"/>
      <w:szCs w:val="18"/>
      <w:lang w:val="cs-CZ"/>
    </w:rPr>
  </w:style>
  <w:style w:type="paragraph" w:styleId="Heading1">
    <w:name w:val="heading 1"/>
    <w:basedOn w:val="Normal"/>
    <w:next w:val="Normal"/>
    <w:uiPriority w:val="1"/>
    <w:qFormat/>
    <w:rsid w:val="59A5D358"/>
    <w:pPr>
      <w:keepNext/>
      <w:outlineLvl w:val="0"/>
    </w:pPr>
    <w:rPr>
      <w:rFonts w:ascii="Interstate-Bold" w:hAnsi="Interstate-Bold" w:cs="Arial"/>
    </w:rPr>
  </w:style>
  <w:style w:type="paragraph" w:styleId="Heading2">
    <w:name w:val="heading 2"/>
    <w:basedOn w:val="Normal"/>
    <w:next w:val="Normal"/>
    <w:uiPriority w:val="1"/>
    <w:qFormat/>
    <w:rsid w:val="59A5D358"/>
    <w:pPr>
      <w:keepNext/>
      <w:spacing w:before="240" w:after="60"/>
      <w:outlineLvl w:val="1"/>
    </w:pPr>
    <w:rPr>
      <w:rFonts w:ascii="Times New Roman" w:hAnsi="Times New Roman" w:cs="Arial"/>
      <w:b/>
      <w:bCs/>
      <w:sz w:val="48"/>
      <w:szCs w:val="48"/>
    </w:rPr>
  </w:style>
  <w:style w:type="paragraph" w:styleId="Heading3">
    <w:name w:val="heading 3"/>
    <w:basedOn w:val="Normal"/>
    <w:next w:val="Normal"/>
    <w:uiPriority w:val="1"/>
    <w:qFormat/>
    <w:rsid w:val="59A5D358"/>
    <w:pPr>
      <w:keepNext/>
      <w:spacing w:before="240" w:after="60"/>
      <w:outlineLvl w:val="2"/>
    </w:pPr>
    <w:rPr>
      <w:rFonts w:ascii="Times New Roman" w:hAnsi="Times New Roman" w:cs="Arial"/>
      <w:b/>
      <w:bCs/>
      <w:sz w:val="40"/>
      <w:szCs w:val="40"/>
    </w:rPr>
  </w:style>
  <w:style w:type="paragraph" w:styleId="Heading4">
    <w:name w:val="heading 4"/>
    <w:basedOn w:val="Normal"/>
    <w:next w:val="Normal"/>
    <w:link w:val="Heading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59A5D358"/>
    <w:pPr>
      <w:tabs>
        <w:tab w:val="center" w:pos="4536"/>
        <w:tab w:val="right" w:pos="9072"/>
      </w:tabs>
    </w:pPr>
  </w:style>
  <w:style w:type="paragraph" w:styleId="Footer">
    <w:name w:val="footer"/>
    <w:basedOn w:val="Normal"/>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al"/>
    <w:next w:val="Normal"/>
    <w:uiPriority w:val="1"/>
    <w:rsid w:val="59A5D358"/>
    <w:rPr>
      <w:color w:val="000000" w:themeColor="text1"/>
      <w:sz w:val="14"/>
      <w:szCs w:val="14"/>
    </w:rPr>
  </w:style>
  <w:style w:type="paragraph" w:customStyle="1" w:styleId="Table">
    <w:name w:val="Table"/>
    <w:basedOn w:val="Normal"/>
    <w:uiPriority w:val="1"/>
    <w:rsid w:val="59A5D358"/>
    <w:pPr>
      <w:spacing w:before="20" w:after="20"/>
      <w:ind w:left="57"/>
    </w:pPr>
    <w:rPr>
      <w:rFonts w:cs="Arial"/>
    </w:rPr>
  </w:style>
  <w:style w:type="table" w:styleId="TableGrid">
    <w:name w:val="Table Grid"/>
    <w:basedOn w:val="TableNormal"/>
    <w:rsid w:val="003878E1"/>
    <w:pPr>
      <w:spacing w:line="21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FormatvorlageAufgezhlt">
    <w:name w:val="Formatvorlage Aufgezählt"/>
    <w:basedOn w:val="NoList"/>
    <w:rsid w:val="002B5B06"/>
    <w:pPr>
      <w:numPr>
        <w:numId w:val="4"/>
      </w:numPr>
    </w:pPr>
  </w:style>
  <w:style w:type="paragraph" w:styleId="BodyText">
    <w:name w:val="Body Text"/>
    <w:basedOn w:val="Normal"/>
    <w:link w:val="Body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al"/>
    <w:uiPriority w:val="1"/>
    <w:rsid w:val="59A5D358"/>
    <w:rPr>
      <w:u w:val="single"/>
    </w:rPr>
  </w:style>
  <w:style w:type="paragraph" w:customStyle="1" w:styleId="Sub-Headline11">
    <w:name w:val="Sub-Headline 11"/>
    <w:basedOn w:val="Heading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al"/>
    <w:uiPriority w:val="1"/>
    <w:rsid w:val="59A5D358"/>
    <w:rPr>
      <w:rFonts w:ascii="Interstate-Bold" w:hAnsi="Interstate-Bold"/>
    </w:rPr>
  </w:style>
  <w:style w:type="paragraph" w:styleId="HTMLPreformatted">
    <w:name w:val="HTML Preformatted"/>
    <w:basedOn w:val="Normal"/>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BalloonText">
    <w:name w:val="Balloon Text"/>
    <w:basedOn w:val="Normal"/>
    <w:uiPriority w:val="1"/>
    <w:semiHidden/>
    <w:rsid w:val="59A5D358"/>
    <w:rPr>
      <w:rFonts w:ascii="Tahoma" w:hAnsi="Tahoma" w:cs="Tahoma"/>
      <w:sz w:val="16"/>
      <w:szCs w:val="16"/>
    </w:rPr>
  </w:style>
  <w:style w:type="paragraph" w:styleId="NormalWeb">
    <w:name w:val="Normal (Web)"/>
    <w:basedOn w:val="Normal"/>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DocumentMap">
    <w:name w:val="Document Map"/>
    <w:basedOn w:val="Normal"/>
    <w:uiPriority w:val="1"/>
    <w:semiHidden/>
    <w:rsid w:val="59A5D358"/>
    <w:rPr>
      <w:rFonts w:ascii="Tahoma" w:hAnsi="Tahoma" w:cs="Tahoma"/>
      <w:sz w:val="20"/>
      <w:szCs w:val="20"/>
    </w:rPr>
  </w:style>
  <w:style w:type="paragraph" w:styleId="FootnoteText">
    <w:name w:val="footnote text"/>
    <w:basedOn w:val="Normal"/>
    <w:link w:val="FootnoteTextChar"/>
    <w:uiPriority w:val="99"/>
    <w:rsid w:val="59A5D358"/>
    <w:rPr>
      <w:sz w:val="20"/>
      <w:szCs w:val="20"/>
    </w:rPr>
  </w:style>
  <w:style w:type="character" w:styleId="FootnoteReference">
    <w:name w:val="footnote reference"/>
    <w:uiPriority w:val="99"/>
    <w:rsid w:val="00E64197"/>
    <w:rPr>
      <w:vertAlign w:val="superscript"/>
    </w:rPr>
  </w:style>
  <w:style w:type="character" w:styleId="CommentReference">
    <w:name w:val="annotation reference"/>
    <w:semiHidden/>
    <w:rsid w:val="00E330AF"/>
    <w:rPr>
      <w:sz w:val="16"/>
      <w:szCs w:val="16"/>
    </w:rPr>
  </w:style>
  <w:style w:type="paragraph" w:styleId="CommentText">
    <w:name w:val="annotation text"/>
    <w:basedOn w:val="Normal"/>
    <w:uiPriority w:val="1"/>
    <w:semiHidden/>
    <w:rsid w:val="59A5D358"/>
    <w:rPr>
      <w:sz w:val="20"/>
      <w:szCs w:val="20"/>
    </w:rPr>
  </w:style>
  <w:style w:type="paragraph" w:styleId="CommentSubject">
    <w:name w:val="annotation subject"/>
    <w:basedOn w:val="CommentText"/>
    <w:next w:val="CommentText"/>
    <w:uiPriority w:val="1"/>
    <w:semiHidden/>
    <w:rsid w:val="59A5D358"/>
    <w:rPr>
      <w:b/>
      <w:bCs/>
    </w:rPr>
  </w:style>
  <w:style w:type="character" w:styleId="FollowedHyperlink">
    <w:name w:val="FollowedHyperlink"/>
    <w:rsid w:val="00CD4F67"/>
    <w:rPr>
      <w:color w:val="800080"/>
      <w:u w:val="single"/>
    </w:rPr>
  </w:style>
  <w:style w:type="character" w:customStyle="1" w:styleId="FootnoteTextChar">
    <w:name w:val="Footnote Text Char"/>
    <w:link w:val="FootnoteText"/>
    <w:uiPriority w:val="99"/>
    <w:rsid w:val="59A5D358"/>
    <w:rPr>
      <w:rFonts w:ascii="Interstate-Light" w:hAnsi="Interstate-Light"/>
      <w:noProof w:val="0"/>
      <w:lang w:val="cs-CZ"/>
    </w:rPr>
  </w:style>
  <w:style w:type="character" w:customStyle="1" w:styleId="BodyTextChar">
    <w:name w:val="Body Text Char"/>
    <w:link w:val="BodyText"/>
    <w:uiPriority w:val="1"/>
    <w:rsid w:val="59A5D358"/>
    <w:rPr>
      <w:rFonts w:ascii="Courier New" w:hAnsi="Courier New"/>
      <w:noProof w:val="0"/>
      <w:sz w:val="24"/>
      <w:szCs w:val="24"/>
      <w:lang w:val="cs-CZ"/>
    </w:rPr>
  </w:style>
  <w:style w:type="paragraph" w:styleId="ListParagraph">
    <w:name w:val="List Paragraph"/>
    <w:basedOn w:val="Normal"/>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DefaultParagraphFont"/>
    <w:rsid w:val="00F00166"/>
  </w:style>
  <w:style w:type="paragraph" w:styleId="Revision">
    <w:name w:val="Revision"/>
    <w:hidden/>
    <w:uiPriority w:val="99"/>
    <w:semiHidden/>
    <w:rsid w:val="00A04BAE"/>
    <w:rPr>
      <w:rFonts w:ascii="Interstate-Light" w:hAnsi="Interstate-Light"/>
      <w:spacing w:val="-2"/>
      <w:sz w:val="18"/>
      <w:szCs w:val="24"/>
    </w:rPr>
  </w:style>
  <w:style w:type="character" w:styleId="Hyperlink">
    <w:name w:val="Hyperlink"/>
    <w:uiPriority w:val="99"/>
    <w:rsid w:val="00346D43"/>
    <w:rPr>
      <w:color w:val="0000FF"/>
      <w:u w:val="single"/>
    </w:rPr>
  </w:style>
  <w:style w:type="paragraph" w:customStyle="1" w:styleId="NoList1">
    <w:name w:val="No List1"/>
    <w:basedOn w:val="Normal"/>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DefaultParagraphFont"/>
    <w:qFormat/>
    <w:rsid w:val="004545D9"/>
    <w:rPr>
      <w:b/>
      <w:bCs/>
    </w:rPr>
  </w:style>
  <w:style w:type="character" w:styleId="Strong">
    <w:name w:val="Strong"/>
    <w:basedOn w:val="DefaultParagraphFont"/>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Title">
    <w:name w:val="Title"/>
    <w:basedOn w:val="Normal"/>
    <w:next w:val="Normal"/>
    <w:link w:val="Title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9A5D358"/>
    <w:rPr>
      <w:rFonts w:eastAsiaTheme="minorEastAsia"/>
      <w:color w:val="5A5A5A"/>
    </w:rPr>
  </w:style>
  <w:style w:type="paragraph" w:styleId="Quote">
    <w:name w:val="Quote"/>
    <w:basedOn w:val="Normal"/>
    <w:next w:val="Normal"/>
    <w:link w:val="QuoteChar"/>
    <w:uiPriority w:val="29"/>
    <w:qFormat/>
    <w:rsid w:val="59A5D35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9A5D358"/>
    <w:pPr>
      <w:spacing w:before="360" w:after="360"/>
      <w:ind w:left="864" w:right="864"/>
      <w:jc w:val="center"/>
    </w:pPr>
    <w:rPr>
      <w:i/>
      <w:iCs/>
      <w:color w:val="4F81BD" w:themeColor="accent1"/>
    </w:rPr>
  </w:style>
  <w:style w:type="character" w:customStyle="1" w:styleId="Heading4Char">
    <w:name w:val="Heading 4 Char"/>
    <w:basedOn w:val="DefaultParagraphFont"/>
    <w:link w:val="Heading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Heading5Char">
    <w:name w:val="Heading 5 Char"/>
    <w:basedOn w:val="DefaultParagraphFont"/>
    <w:link w:val="Heading5"/>
    <w:uiPriority w:val="9"/>
    <w:rsid w:val="59A5D358"/>
    <w:rPr>
      <w:rFonts w:asciiTheme="majorHAnsi" w:eastAsiaTheme="majorEastAsia" w:hAnsiTheme="majorHAnsi" w:cstheme="majorBidi"/>
      <w:noProof w:val="0"/>
      <w:color w:val="365F91" w:themeColor="accent1" w:themeShade="BF"/>
      <w:lang w:val="cs-CZ"/>
    </w:rPr>
  </w:style>
  <w:style w:type="character" w:customStyle="1" w:styleId="Heading6Char">
    <w:name w:val="Heading 6 Char"/>
    <w:basedOn w:val="DefaultParagraphFont"/>
    <w:link w:val="Heading6"/>
    <w:uiPriority w:val="9"/>
    <w:rsid w:val="59A5D358"/>
    <w:rPr>
      <w:rFonts w:asciiTheme="majorHAnsi" w:eastAsiaTheme="majorEastAsia" w:hAnsiTheme="majorHAnsi" w:cstheme="majorBidi"/>
      <w:noProof w:val="0"/>
      <w:color w:val="243F60"/>
      <w:lang w:val="cs-CZ"/>
    </w:rPr>
  </w:style>
  <w:style w:type="character" w:customStyle="1" w:styleId="Heading7Char">
    <w:name w:val="Heading 7 Char"/>
    <w:basedOn w:val="DefaultParagraphFont"/>
    <w:link w:val="Heading7"/>
    <w:uiPriority w:val="9"/>
    <w:rsid w:val="59A5D358"/>
    <w:rPr>
      <w:rFonts w:asciiTheme="majorHAnsi" w:eastAsiaTheme="majorEastAsia" w:hAnsiTheme="majorHAnsi" w:cstheme="majorBidi"/>
      <w:i/>
      <w:iCs/>
      <w:noProof w:val="0"/>
      <w:color w:val="243F60"/>
      <w:lang w:val="cs-CZ"/>
    </w:rPr>
  </w:style>
  <w:style w:type="character" w:customStyle="1" w:styleId="Heading8Char">
    <w:name w:val="Heading 8 Char"/>
    <w:basedOn w:val="DefaultParagraphFont"/>
    <w:link w:val="Heading8"/>
    <w:uiPriority w:val="9"/>
    <w:rsid w:val="59A5D358"/>
    <w:rPr>
      <w:rFonts w:asciiTheme="majorHAnsi" w:eastAsiaTheme="majorEastAsia" w:hAnsiTheme="majorHAnsi" w:cstheme="majorBidi"/>
      <w:noProof w:val="0"/>
      <w:color w:val="272727"/>
      <w:sz w:val="21"/>
      <w:szCs w:val="21"/>
      <w:lang w:val="cs-CZ"/>
    </w:rPr>
  </w:style>
  <w:style w:type="character" w:customStyle="1" w:styleId="Heading9Char">
    <w:name w:val="Heading 9 Char"/>
    <w:basedOn w:val="DefaultParagraphFont"/>
    <w:link w:val="Heading9"/>
    <w:uiPriority w:val="9"/>
    <w:rsid w:val="59A5D358"/>
    <w:rPr>
      <w:rFonts w:asciiTheme="majorHAnsi" w:eastAsiaTheme="majorEastAsia" w:hAnsiTheme="majorHAnsi" w:cstheme="majorBidi"/>
      <w:i/>
      <w:iCs/>
      <w:noProof w:val="0"/>
      <w:color w:val="272727"/>
      <w:sz w:val="21"/>
      <w:szCs w:val="21"/>
      <w:lang w:val="cs-CZ"/>
    </w:rPr>
  </w:style>
  <w:style w:type="character" w:customStyle="1" w:styleId="TitleChar">
    <w:name w:val="Title Char"/>
    <w:basedOn w:val="DefaultParagraphFont"/>
    <w:link w:val="Title"/>
    <w:uiPriority w:val="10"/>
    <w:rsid w:val="59A5D358"/>
    <w:rPr>
      <w:rFonts w:asciiTheme="majorHAnsi" w:eastAsiaTheme="majorEastAsia" w:hAnsiTheme="majorHAnsi" w:cstheme="majorBidi"/>
      <w:noProof w:val="0"/>
      <w:sz w:val="56"/>
      <w:szCs w:val="56"/>
      <w:lang w:val="cs-CZ"/>
    </w:rPr>
  </w:style>
  <w:style w:type="character" w:customStyle="1" w:styleId="SubtitleChar">
    <w:name w:val="Subtitle Char"/>
    <w:basedOn w:val="DefaultParagraphFont"/>
    <w:link w:val="Subtitle"/>
    <w:uiPriority w:val="11"/>
    <w:rsid w:val="59A5D358"/>
    <w:rPr>
      <w:rFonts w:ascii="Times New Roman" w:eastAsiaTheme="minorEastAsia" w:hAnsi="Times New Roman" w:cs="Times New Roman"/>
      <w:noProof w:val="0"/>
      <w:color w:val="5A5A5A"/>
      <w:lang w:val="cs-CZ"/>
    </w:rPr>
  </w:style>
  <w:style w:type="character" w:customStyle="1" w:styleId="QuoteChar">
    <w:name w:val="Quote Char"/>
    <w:basedOn w:val="DefaultParagraphFont"/>
    <w:link w:val="Quote"/>
    <w:uiPriority w:val="29"/>
    <w:rsid w:val="59A5D358"/>
    <w:rPr>
      <w:i/>
      <w:iCs/>
      <w:noProof w:val="0"/>
      <w:color w:val="404040" w:themeColor="text1" w:themeTint="BF"/>
      <w:lang w:val="cs-CZ"/>
    </w:rPr>
  </w:style>
  <w:style w:type="character" w:customStyle="1" w:styleId="IntenseQuoteChar">
    <w:name w:val="Intense Quote Char"/>
    <w:basedOn w:val="DefaultParagraphFont"/>
    <w:link w:val="IntenseQuote"/>
    <w:uiPriority w:val="30"/>
    <w:rsid w:val="59A5D358"/>
    <w:rPr>
      <w:i/>
      <w:iCs/>
      <w:noProof w:val="0"/>
      <w:color w:val="4F81BD" w:themeColor="accent1"/>
      <w:lang w:val="cs-CZ"/>
    </w:rPr>
  </w:style>
  <w:style w:type="paragraph" w:styleId="TOC1">
    <w:name w:val="toc 1"/>
    <w:basedOn w:val="Normal"/>
    <w:next w:val="Normal"/>
    <w:uiPriority w:val="39"/>
    <w:unhideWhenUsed/>
    <w:rsid w:val="59A5D358"/>
    <w:pPr>
      <w:spacing w:after="100"/>
    </w:pPr>
  </w:style>
  <w:style w:type="paragraph" w:styleId="TOC2">
    <w:name w:val="toc 2"/>
    <w:basedOn w:val="Normal"/>
    <w:next w:val="Normal"/>
    <w:uiPriority w:val="39"/>
    <w:unhideWhenUsed/>
    <w:rsid w:val="59A5D358"/>
    <w:pPr>
      <w:spacing w:after="100"/>
      <w:ind w:left="220"/>
    </w:pPr>
  </w:style>
  <w:style w:type="paragraph" w:styleId="TOC3">
    <w:name w:val="toc 3"/>
    <w:basedOn w:val="Normal"/>
    <w:next w:val="Normal"/>
    <w:uiPriority w:val="39"/>
    <w:unhideWhenUsed/>
    <w:rsid w:val="59A5D358"/>
    <w:pPr>
      <w:spacing w:after="100"/>
      <w:ind w:left="440"/>
    </w:pPr>
  </w:style>
  <w:style w:type="paragraph" w:styleId="TOC4">
    <w:name w:val="toc 4"/>
    <w:basedOn w:val="Normal"/>
    <w:next w:val="Normal"/>
    <w:uiPriority w:val="39"/>
    <w:unhideWhenUsed/>
    <w:rsid w:val="59A5D358"/>
    <w:pPr>
      <w:spacing w:after="100"/>
      <w:ind w:left="660"/>
    </w:pPr>
  </w:style>
  <w:style w:type="paragraph" w:styleId="TOC5">
    <w:name w:val="toc 5"/>
    <w:basedOn w:val="Normal"/>
    <w:next w:val="Normal"/>
    <w:uiPriority w:val="39"/>
    <w:unhideWhenUsed/>
    <w:rsid w:val="59A5D358"/>
    <w:pPr>
      <w:spacing w:after="100"/>
      <w:ind w:left="880"/>
    </w:pPr>
  </w:style>
  <w:style w:type="paragraph" w:styleId="TOC6">
    <w:name w:val="toc 6"/>
    <w:basedOn w:val="Normal"/>
    <w:next w:val="Normal"/>
    <w:uiPriority w:val="39"/>
    <w:unhideWhenUsed/>
    <w:rsid w:val="59A5D358"/>
    <w:pPr>
      <w:spacing w:after="100"/>
      <w:ind w:left="1100"/>
    </w:pPr>
  </w:style>
  <w:style w:type="paragraph" w:styleId="TOC7">
    <w:name w:val="toc 7"/>
    <w:basedOn w:val="Normal"/>
    <w:next w:val="Normal"/>
    <w:uiPriority w:val="39"/>
    <w:unhideWhenUsed/>
    <w:rsid w:val="59A5D358"/>
    <w:pPr>
      <w:spacing w:after="100"/>
      <w:ind w:left="1320"/>
    </w:pPr>
  </w:style>
  <w:style w:type="paragraph" w:styleId="TOC8">
    <w:name w:val="toc 8"/>
    <w:basedOn w:val="Normal"/>
    <w:next w:val="Normal"/>
    <w:uiPriority w:val="39"/>
    <w:unhideWhenUsed/>
    <w:rsid w:val="59A5D358"/>
    <w:pPr>
      <w:spacing w:after="100"/>
      <w:ind w:left="1540"/>
    </w:pPr>
  </w:style>
  <w:style w:type="paragraph" w:styleId="TOC9">
    <w:name w:val="toc 9"/>
    <w:basedOn w:val="Normal"/>
    <w:next w:val="Normal"/>
    <w:uiPriority w:val="39"/>
    <w:unhideWhenUsed/>
    <w:rsid w:val="59A5D358"/>
    <w:pPr>
      <w:spacing w:after="100"/>
      <w:ind w:left="1760"/>
    </w:pPr>
  </w:style>
  <w:style w:type="paragraph" w:styleId="EndnoteText">
    <w:name w:val="endnote text"/>
    <w:basedOn w:val="Normal"/>
    <w:link w:val="EndnoteTextChar"/>
    <w:uiPriority w:val="99"/>
    <w:semiHidden/>
    <w:unhideWhenUsed/>
    <w:rsid w:val="59A5D358"/>
    <w:pPr>
      <w:spacing w:line="240" w:lineRule="auto"/>
    </w:pPr>
    <w:rPr>
      <w:sz w:val="20"/>
      <w:szCs w:val="20"/>
    </w:rPr>
  </w:style>
  <w:style w:type="character" w:customStyle="1" w:styleId="EndnoteTextChar">
    <w:name w:val="Endnote Text Char"/>
    <w:basedOn w:val="DefaultParagraphFont"/>
    <w:link w:val="EndnoteText"/>
    <w:uiPriority w:val="99"/>
    <w:semiHidden/>
    <w:rsid w:val="59A5D358"/>
    <w:rPr>
      <w:noProof w:val="0"/>
      <w:sz w:val="20"/>
      <w:szCs w:val="20"/>
      <w:lang w:val="cs-CZ"/>
    </w:rPr>
  </w:style>
  <w:style w:type="paragraph" w:customStyle="1" w:styleId="key-takeawaysdesc">
    <w:name w:val="key-takeaways__desc"/>
    <w:basedOn w:val="Normal"/>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al"/>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al"/>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r="http://schemas.openxmlformats.org/officeDocument/2006/relationships" xmlns:w="http://schemas.openxmlformats.org/wordprocessingml/2006/main">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7" ma:contentTypeDescription="Vytvoří nový dokument" ma:contentTypeScope="" ma:versionID="4d8c69a6b026994095c8e68991c8bc3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e331254a31459b64dcabebdebfadf7e"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5A6B3-D168-4585-B88B-E5276F678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3.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B34353AF-5951-4F50-9CE6-91717CA9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1180</Words>
  <Characters>6966</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Performance</vt:lpstr>
      <vt:lpstr>Performance</vt:lpstr>
    </vt:vector>
  </TitlesOfParts>
  <Company>INVESCO</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Gabriela Hampejsová</cp:lastModifiedBy>
  <cp:revision>2</cp:revision>
  <cp:lastPrinted>2021-02-17T20:24:00Z</cp:lastPrinted>
  <dcterms:created xsi:type="dcterms:W3CDTF">2025-07-25T07:39:00Z</dcterms:created>
  <dcterms:modified xsi:type="dcterms:W3CDTF">2025-07-25T07:39:00Z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ies>
</file>