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4456" w14:textId="77777777" w:rsidR="00EE4C58" w:rsidRPr="00EE4C58" w:rsidRDefault="00233583" w:rsidP="00C51698">
      <w:pPr>
        <w:spacing w:before="100" w:beforeAutospacing="1" w:after="100" w:afterAutospacing="1" w:line="266" w:lineRule="atLeast"/>
        <w:jc w:val="both"/>
        <w:outlineLvl w:val="0"/>
        <w:rPr>
          <w:rFonts w:ascii="Invesco Interstate Bold" w:hAnsi="Invesco Interstate Bold"/>
          <w:b/>
          <w:bCs/>
          <w:sz w:val="28"/>
          <w:szCs w:val="28"/>
        </w:rPr>
      </w:pPr>
      <w:r>
        <w:rPr>
          <w:rFonts w:ascii="Invesco Interstate Bold" w:hAnsi="Invesco Interstate Bold"/>
          <w:b/>
          <w:bCs/>
          <w:sz w:val="28"/>
          <w:szCs w:val="28"/>
        </w:rPr>
        <w:t>Analýza trendů na akciovém trhu v roce 2025 od společnosti Invesco</w:t>
      </w:r>
      <w:r w:rsidR="00FB70E2">
        <w:rPr>
          <w:rFonts w:ascii="Invesco Interstate Bold" w:hAnsi="Invesco Interstate Bold"/>
          <w:b/>
          <w:bCs/>
          <w:sz w:val="28"/>
          <w:szCs w:val="28"/>
        </w:rPr>
        <w:t xml:space="preserve"> </w:t>
      </w:r>
    </w:p>
    <w:p w14:paraId="03FE5C8E" w14:textId="77777777" w:rsidR="000D54B1" w:rsidRDefault="00233583" w:rsidP="000D54B1">
      <w:pPr>
        <w:spacing w:line="360" w:lineRule="auto"/>
        <w:jc w:val="both"/>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Zde jsou klíčové informace o aktuálních trendech na trhu a vývoji akcií.</w:t>
      </w:r>
    </w:p>
    <w:p w14:paraId="503167BC" w14:textId="2703CD9C" w:rsidR="00233583" w:rsidRDefault="00233583" w:rsidP="000D54B1">
      <w:pPr>
        <w:spacing w:line="360" w:lineRule="auto"/>
        <w:jc w:val="both"/>
        <w:rPr>
          <w:rFonts w:ascii="Invesco Interstate Light" w:eastAsia="MS Mincho" w:hAnsi="Invesco Interstate Light"/>
          <w:i/>
          <w:sz w:val="22"/>
          <w:szCs w:val="22"/>
          <w:lang w:eastAsia="ja-JP"/>
        </w:rPr>
      </w:pPr>
      <w:r w:rsidRPr="00233583">
        <w:br/>
      </w:r>
      <w:r w:rsidRPr="00233583">
        <w:rPr>
          <w:rFonts w:ascii="Invesco Interstate Light" w:eastAsia="MS Mincho" w:hAnsi="Invesco Interstate Light"/>
          <w:i/>
          <w:sz w:val="22"/>
          <w:szCs w:val="22"/>
          <w:lang w:eastAsia="ja-JP"/>
        </w:rPr>
        <w:t xml:space="preserve">Oliver Collin, </w:t>
      </w:r>
      <w:r w:rsidR="00A20F8F">
        <w:rPr>
          <w:rFonts w:ascii="Invesco Interstate Light" w:eastAsia="MS Mincho" w:hAnsi="Invesco Interstate Light"/>
          <w:i/>
          <w:sz w:val="22"/>
          <w:szCs w:val="22"/>
          <w:lang w:eastAsia="ja-JP"/>
        </w:rPr>
        <w:t>manažer správy britských a evropských akcií společnosti Invesco</w:t>
      </w:r>
    </w:p>
    <w:p w14:paraId="12658153" w14:textId="13476394" w:rsidR="00233583" w:rsidRDefault="00233583" w:rsidP="000D54B1">
      <w:pPr>
        <w:spacing w:line="360" w:lineRule="auto"/>
        <w:jc w:val="both"/>
        <w:rPr>
          <w:rFonts w:ascii="Invesco Interstate Light" w:eastAsia="MS Mincho" w:hAnsi="Invesco Interstate Light"/>
          <w:i/>
          <w:sz w:val="22"/>
          <w:szCs w:val="22"/>
          <w:lang w:eastAsia="ja-JP"/>
        </w:rPr>
      </w:pPr>
      <w:r>
        <w:rPr>
          <w:rFonts w:ascii="Invesco Interstate Light" w:eastAsia="MS Mincho" w:hAnsi="Invesco Interstate Light"/>
          <w:i/>
          <w:sz w:val="22"/>
          <w:szCs w:val="22"/>
          <w:lang w:eastAsia="ja-JP"/>
        </w:rPr>
        <w:t xml:space="preserve">Andrew Hall, </w:t>
      </w:r>
      <w:r w:rsidR="00A20F8F">
        <w:rPr>
          <w:rFonts w:ascii="Invesco Interstate Light" w:eastAsia="MS Mincho" w:hAnsi="Invesco Interstate Light"/>
          <w:i/>
          <w:sz w:val="22"/>
          <w:szCs w:val="22"/>
          <w:lang w:eastAsia="ja-JP"/>
        </w:rPr>
        <w:t>manažer fondu Invesco</w:t>
      </w:r>
    </w:p>
    <w:p w14:paraId="5B1F0173" w14:textId="00DE6BBB" w:rsidR="00B41018" w:rsidRPr="00233583" w:rsidRDefault="00233583" w:rsidP="00B41018">
      <w:pPr>
        <w:rPr>
          <w:rFonts w:ascii="Invesco Interstate Light" w:eastAsia="MS Mincho" w:hAnsi="Invesco Interstate Light"/>
          <w:i/>
          <w:sz w:val="22"/>
          <w:szCs w:val="22"/>
          <w:lang w:eastAsia="ja-JP"/>
        </w:rPr>
      </w:pPr>
      <w:r w:rsidRPr="00233583">
        <w:rPr>
          <w:rFonts w:ascii="Invesco Interstate Light" w:eastAsia="MS Mincho" w:hAnsi="Invesco Interstate Light"/>
          <w:i/>
          <w:sz w:val="22"/>
          <w:szCs w:val="22"/>
          <w:lang w:eastAsia="ja-JP"/>
        </w:rPr>
        <w:t>James McDermottroe</w:t>
      </w:r>
      <w:r>
        <w:rPr>
          <w:rFonts w:ascii="Invesco Interstate Light" w:eastAsia="MS Mincho" w:hAnsi="Invesco Interstate Light"/>
          <w:i/>
          <w:sz w:val="22"/>
          <w:szCs w:val="22"/>
          <w:lang w:eastAsia="ja-JP"/>
        </w:rPr>
        <w:t xml:space="preserve">, </w:t>
      </w:r>
      <w:r w:rsidR="00A20F8F">
        <w:rPr>
          <w:rFonts w:ascii="Invesco Interstate Light" w:eastAsia="MS Mincho" w:hAnsi="Invesco Interstate Light"/>
          <w:i/>
          <w:sz w:val="22"/>
          <w:szCs w:val="22"/>
          <w:lang w:eastAsia="ja-JP"/>
        </w:rPr>
        <w:t>manažer fondu Invesco</w:t>
      </w:r>
    </w:p>
    <w:p w14:paraId="4F8790BD" w14:textId="77777777" w:rsidR="00233583" w:rsidRDefault="00233583" w:rsidP="00FA03F4">
      <w:pPr>
        <w:spacing w:line="360" w:lineRule="auto"/>
        <w:jc w:val="both"/>
        <w:rPr>
          <w:rFonts w:ascii="Invesco Interstate Light" w:eastAsia="MS Mincho" w:hAnsi="Invesco Interstate Light" w:cs="Cambria"/>
          <w:b/>
          <w:bCs/>
          <w:sz w:val="22"/>
          <w:szCs w:val="22"/>
          <w:lang w:eastAsia="ja-JP"/>
        </w:rPr>
      </w:pPr>
    </w:p>
    <w:p w14:paraId="1EC87515" w14:textId="77777777" w:rsidR="001F7607" w:rsidRPr="00FA03F4" w:rsidRDefault="00233583" w:rsidP="00FA03F4">
      <w:pPr>
        <w:spacing w:line="360" w:lineRule="auto"/>
        <w:jc w:val="both"/>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 xml:space="preserve">Výjimečnost USA pod tlakem </w:t>
      </w:r>
    </w:p>
    <w:p w14:paraId="0B4078FB" w14:textId="77777777" w:rsidR="00233583" w:rsidRPr="00233583" w:rsidRDefault="00233583" w:rsidP="00233583">
      <w:pPr>
        <w:spacing w:before="100" w:beforeAutospacing="1" w:after="100" w:afterAutospacing="1" w:line="360" w:lineRule="auto"/>
        <w:jc w:val="both"/>
        <w:rPr>
          <w:rFonts w:ascii="Invesco Interstate Light" w:eastAsia="MS Mincho" w:hAnsi="Invesco Interstate Light"/>
          <w:sz w:val="22"/>
          <w:szCs w:val="22"/>
          <w:lang w:eastAsia="ja-JP"/>
        </w:rPr>
      </w:pPr>
      <w:r w:rsidRPr="00233583">
        <w:rPr>
          <w:rFonts w:ascii="Invesco Interstate Light" w:eastAsia="MS Mincho" w:hAnsi="Invesco Interstate Light"/>
          <w:sz w:val="22"/>
          <w:szCs w:val="22"/>
          <w:lang w:eastAsia="ja-JP"/>
        </w:rPr>
        <w:t>Andrew: Obecně se vyhýbáme přístupu odshora dolů při rozhodování o investicích a raději se zaměřujeme na fundamentální ukazatele u jednotlivých akcií. Nicméně v posledních měsících došlo k významným událostem – zavedení cel, zprávy o DeepSeek, které vyvolaly prudký výprodej akcií velkých amerických technologických společností jako NVIDIA, zvýšené geopolitické napětí a oslabení dolaru.</w:t>
      </w:r>
    </w:p>
    <w:p w14:paraId="436DDA33" w14:textId="77777777" w:rsidR="00233583" w:rsidRPr="00233583" w:rsidRDefault="00233583" w:rsidP="00233583">
      <w:pPr>
        <w:spacing w:before="100" w:beforeAutospacing="1" w:after="100" w:afterAutospacing="1" w:line="360" w:lineRule="auto"/>
        <w:jc w:val="both"/>
        <w:rPr>
          <w:rFonts w:ascii="Invesco Interstate Light" w:eastAsia="MS Mincho" w:hAnsi="Invesco Interstate Light"/>
          <w:sz w:val="22"/>
          <w:szCs w:val="22"/>
          <w:lang w:eastAsia="ja-JP"/>
        </w:rPr>
      </w:pPr>
      <w:r w:rsidRPr="00233583">
        <w:rPr>
          <w:rFonts w:ascii="Invesco Interstate Light" w:eastAsia="MS Mincho" w:hAnsi="Invesco Interstate Light"/>
          <w:sz w:val="22"/>
          <w:szCs w:val="22"/>
          <w:lang w:eastAsia="ja-JP"/>
        </w:rPr>
        <w:t>Navzdory všem těmto nepříznivým vlivům se americký trh v minulosti ukázal jako odolný. USA mají strukturální výhody pro růst podnikání. Velkou domácí spotřebitelskou základnu, kulturu podnikání a silnou podporu rizikového kapitálu. Mnoho společností, do kterých investujeme, jako například Microsoft, Apple a Google, má globální charakter a generuje příjmy na různých trzích.</w:t>
      </w:r>
    </w:p>
    <w:p w14:paraId="6858A606" w14:textId="77777777" w:rsidR="0040688D" w:rsidRPr="00233583" w:rsidRDefault="00233583" w:rsidP="00233583">
      <w:pPr>
        <w:spacing w:line="360" w:lineRule="auto"/>
        <w:jc w:val="both"/>
        <w:rPr>
          <w:rFonts w:ascii="Invesco Interstate Light" w:eastAsia="MS Mincho" w:hAnsi="Invesco Interstate Light"/>
          <w:sz w:val="22"/>
          <w:szCs w:val="22"/>
          <w:lang w:eastAsia="ja-JP"/>
        </w:rPr>
      </w:pPr>
      <w:r w:rsidRPr="00233583">
        <w:rPr>
          <w:rFonts w:ascii="Invesco Interstate Light" w:eastAsia="MS Mincho" w:hAnsi="Invesco Interstate Light"/>
          <w:sz w:val="22"/>
          <w:szCs w:val="22"/>
          <w:lang w:eastAsia="ja-JP"/>
        </w:rPr>
        <w:t>I když dopad makroekonomických událostí se z pohledu akcií liší, náš přístup zůstává konzistentní: zaujmout dlouhodobý pohled (3–5 let) a zároveň využít krátkodobou volatilitu jako příležitost k optimalizaci krátkodobých zisků. Zaměřujeme se na identifikaci odvětví s dlouhodobým růstovým potenciálem, zejména ve fragmentovaných sektorech USA, kde silný management může vést k významné expanzi.</w:t>
      </w:r>
    </w:p>
    <w:p w14:paraId="2BE629AB" w14:textId="77777777" w:rsidR="0040688D" w:rsidRDefault="0040688D" w:rsidP="0040688D">
      <w:pPr>
        <w:spacing w:line="360" w:lineRule="auto"/>
        <w:jc w:val="both"/>
        <w:rPr>
          <w:rFonts w:ascii="Invesco Interstate Light" w:eastAsia="MS Mincho" w:hAnsi="Invesco Interstate Light"/>
          <w:sz w:val="22"/>
          <w:szCs w:val="22"/>
          <w:lang w:eastAsia="ja-JP"/>
        </w:rPr>
      </w:pPr>
    </w:p>
    <w:p w14:paraId="37D957C5" w14:textId="77777777" w:rsidR="0040688D" w:rsidRDefault="00233583" w:rsidP="0040688D">
      <w:pPr>
        <w:spacing w:line="360" w:lineRule="auto"/>
        <w:jc w:val="both"/>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Evropské momentum?</w:t>
      </w:r>
    </w:p>
    <w:p w14:paraId="2808E175" w14:textId="77777777" w:rsidR="00424165" w:rsidRDefault="00424165" w:rsidP="00EF7477">
      <w:pPr>
        <w:spacing w:line="360" w:lineRule="auto"/>
        <w:rPr>
          <w:color w:val="000000"/>
          <w:sz w:val="27"/>
          <w:szCs w:val="27"/>
        </w:rPr>
      </w:pPr>
    </w:p>
    <w:p w14:paraId="77BE0484" w14:textId="77777777" w:rsidR="00424165" w:rsidRDefault="00424165" w:rsidP="00424165">
      <w:pPr>
        <w:spacing w:line="360" w:lineRule="auto"/>
        <w:jc w:val="both"/>
        <w:rPr>
          <w:rFonts w:ascii="Invesco Interstate Light" w:eastAsia="MS Mincho" w:hAnsi="Invesco Interstate Light"/>
          <w:sz w:val="22"/>
          <w:szCs w:val="22"/>
          <w:lang w:eastAsia="ja-JP"/>
        </w:rPr>
      </w:pPr>
      <w:r w:rsidRPr="00424165">
        <w:rPr>
          <w:rFonts w:ascii="Invesco Interstate Light" w:eastAsia="MS Mincho" w:hAnsi="Invesco Interstate Light"/>
          <w:sz w:val="22"/>
          <w:szCs w:val="22"/>
          <w:lang w:eastAsia="ja-JP"/>
        </w:rPr>
        <w:t>Oliver: Trhy reagují na to, co je přímo před nimi, a jednou z nejvýznamnějších změn v Evropě je posun Německa k uvolnění svého dlouhodobého dluhového omezení. Vzhledem k tomu, že Německo představuje přibližně třetinu evropského HDP, mohlo by toto zvýšení veřejných investic působit jako katalyzátor širšího regionálního růstu. Dalším klíčovým vývojem je nárůst výdajů na obranu v celé Evropě, který podle našeho názoru podpoří region. Ten zůstává neproinvestovaný a atraktivně oceněný.</w:t>
      </w:r>
    </w:p>
    <w:p w14:paraId="4FC032F0" w14:textId="77777777" w:rsidR="00FB2FC7" w:rsidRPr="00424165" w:rsidRDefault="00FB2FC7" w:rsidP="00424165">
      <w:pPr>
        <w:spacing w:line="360" w:lineRule="auto"/>
        <w:jc w:val="both"/>
        <w:rPr>
          <w:rFonts w:ascii="Invesco Interstate Light" w:eastAsia="MS Mincho" w:hAnsi="Invesco Interstate Light"/>
          <w:sz w:val="22"/>
          <w:szCs w:val="22"/>
          <w:lang w:eastAsia="ja-JP"/>
        </w:rPr>
      </w:pPr>
    </w:p>
    <w:p w14:paraId="1B6F0C1D" w14:textId="77777777" w:rsidR="00FB2FC7" w:rsidRPr="00FB2FC7" w:rsidRDefault="00FB2FC7" w:rsidP="00FB2FC7">
      <w:pPr>
        <w:spacing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lastRenderedPageBreak/>
        <w:t xml:space="preserve">Zaznamenáváme také výraznou divergenci mezi jednotlivými sektory. Evropské akcie orientované na domácí trh, které jsou méně vystaveny globálním obchodním tenzím a clům, takže třeba banky, veřejné služby a telekomunikace, jsou vůdci trhu trh ve srovnání se sektory, jako je spotřební zboží. </w:t>
      </w:r>
    </w:p>
    <w:p w14:paraId="0E306FBB" w14:textId="77777777" w:rsidR="00FB2FC7" w:rsidRDefault="00FB2FC7" w:rsidP="00EF7477">
      <w:pPr>
        <w:spacing w:line="360" w:lineRule="auto"/>
        <w:rPr>
          <w:rFonts w:ascii="Invesco Interstate Light" w:eastAsia="MS Mincho" w:hAnsi="Invesco Interstate Light" w:cs="Cambria"/>
          <w:b/>
          <w:bCs/>
          <w:sz w:val="22"/>
          <w:szCs w:val="22"/>
          <w:lang w:eastAsia="ja-JP"/>
        </w:rPr>
      </w:pPr>
    </w:p>
    <w:p w14:paraId="733B1F70" w14:textId="77777777" w:rsidR="00EF7477" w:rsidRDefault="00FB2FC7" w:rsidP="00EF7477">
      <w:pPr>
        <w:spacing w:line="36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Čína a Asie v hledáčku</w:t>
      </w:r>
    </w:p>
    <w:p w14:paraId="3E3208F8"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James: Při zvažování potenciálního dopadu na čínské společnosti, do kterých investujeme, je důležité si uvědomit, že export tvoří přibližně 15 % čínského HDP, přičemž export do USA představuje méně než 3 %. Navíc přibližně 80 % zisků v čínském investičním prostředí pochází z domácího trhu, což znamená, že vnitřní faktory mají mnohem větší vliv na výkonnost trhu.</w:t>
      </w:r>
    </w:p>
    <w:p w14:paraId="208EE08C"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Stabilita v sektoru nemovitostí a oživení důvěry spotřebitelů jsou proto zásadní. Pozitivní vývoj v těchto oblastech by pravděpodobně podpořil valuace akcií v celém regionu. Nejvýznamnější změna politiky nastala během loňského Zlatého týdne, kdy se vláda Komunistické strany Číny rozhodla stabilizovat trh s nemovitostmi, což podpořilo důvěru spotřebitelů, a tím i akciové trhy. Nám jako investorům to ukázalo, že vláda reaguje na slabost trhu, a jsme byli svědky velmi prudkého oživení z nadměrně diskontovaných hladin.</w:t>
      </w:r>
    </w:p>
    <w:p w14:paraId="24491528" w14:textId="77777777" w:rsidR="00EF747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Domníváme se, že Čína se blíží ke konci usměrňování s nemovitostmi a má potenciál pro cyklické oživení podporované politikami, které zřejmě zůstanou v příštích letech uvolněnější a příznivější. Navíc přeskupení globálních dodavatelských řetězců, které se projevuje rostoucí rolí zemí jako Indonésie a Vietnam, přináší další příležitosti, i když tyto regiony čelí výzvám souvisejícím s cly.</w:t>
      </w:r>
    </w:p>
    <w:p w14:paraId="22BD5F26" w14:textId="77777777" w:rsidR="00EF7477" w:rsidRDefault="00FB2FC7" w:rsidP="00EF7477">
      <w:pPr>
        <w:spacing w:line="36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Obchodní politika a reakce trhu</w:t>
      </w:r>
    </w:p>
    <w:p w14:paraId="55F7F072"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Andrew: Nedávná volatilita trhu nám jako aktivním správcům fondů vytvořila příležitosti k investování do vysoce kvalitních podniků, které byly dříve kvůli jejich ocenění mimo</w:t>
      </w:r>
      <w:r>
        <w:rPr>
          <w:rFonts w:ascii="Invesco Interstate Light" w:eastAsia="MS Mincho" w:hAnsi="Invesco Interstate Light"/>
          <w:sz w:val="22"/>
          <w:szCs w:val="22"/>
          <w:lang w:eastAsia="ja-JP"/>
        </w:rPr>
        <w:t xml:space="preserve"> </w:t>
      </w:r>
      <w:r w:rsidRPr="00FB2FC7">
        <w:rPr>
          <w:rFonts w:ascii="Invesco Interstate Light" w:eastAsia="MS Mincho" w:hAnsi="Invesco Interstate Light"/>
          <w:sz w:val="22"/>
          <w:szCs w:val="22"/>
          <w:lang w:eastAsia="ja-JP"/>
        </w:rPr>
        <w:t>náš dosah, nebo k opětovnému zařazení titulů, které jsme dříve vyřadili, protože se staly příliš drahé. Toto prostředí nám umožnilo přeskupit portfolio s ohledem na dlouhodobý růst, i když si uvědomujeme, že to teprve uvidíme, protože trhy jsou stále velmi volatilní. Ve čtvrtém čtvrtletí jsme již začali snižovat některé rizikové expozice a rozhodli jsme se nesledovat momentální trendy, ale místo toho se soustředit na udržení vyváženého a odolného portfolia.</w:t>
      </w:r>
    </w:p>
    <w:p w14:paraId="23D035BC"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lastRenderedPageBreak/>
        <w:t>James: Tržní prostředí zůstává nestabilní. Zaujali jsme selektivní přístup k obchodování, nadále se řídíme valuacemi a důvěřujeme fundamentálním ukazatelům společností. Naše portfolia jsou sestavena tak, aby se vyhnula nadměrné expozici vůči jedné společnosti, odvětví nebo tématu, a zajistila tak odolnost v měnícím se politickém prostředí.</w:t>
      </w:r>
    </w:p>
    <w:p w14:paraId="05AA2B7E" w14:textId="77777777" w:rsidR="00EF7477" w:rsidRDefault="00FB2FC7" w:rsidP="00EF7477">
      <w:pPr>
        <w:spacing w:line="36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Čínský export a Evropa</w:t>
      </w:r>
    </w:p>
    <w:p w14:paraId="6C532B1B"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Oliver: Pokud je vaše investiční teze pro Evropu založena na tom, že region těží z levného čínského importu, domníváme se, že to není udržitelný předpoklad. Skutečná příležitost v Evropě spočívá v jejích domácích podmínkách, silné zaměstnanosti, tvorbě pracovních míst, fiskálním uvolnění, vysokých mírách úspor a nahromaděné poptávce po bydlení a s tím souvisejících faktorech, což jsme více než deset let neviděli.</w:t>
      </w:r>
    </w:p>
    <w:p w14:paraId="4DA99CB3"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Levnější čínské zboží může sice spotřebitelům přinést krátkodobý impuls, ale může také vyvíjet tlak na domácí výrobce. Širší investování v Evropě však vychází z vnitřní dynamiky, nikoli z vnějších deflačních vlivů.</w:t>
      </w:r>
    </w:p>
    <w:p w14:paraId="7EED5C76" w14:textId="77777777" w:rsidR="00FB2FC7" w:rsidRDefault="00FB2FC7" w:rsidP="00FB2FC7">
      <w:pPr>
        <w:spacing w:line="36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Slabý dolar a aktiva z rozvíjejících se trhů</w:t>
      </w:r>
    </w:p>
    <w:p w14:paraId="7301081C"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James: Rozvíjející se trhy často těží ze slabšího dolaru, ale domníváme se, že v pozadí jsou ještě silnější strukturální faktory. Země jako Indie a Indonésie zaznamenávají robustní domácí růst a Čína se zdá být blízko dna svého ekonomického cyklu, což nabízí potenciál pro růst.</w:t>
      </w:r>
    </w:p>
    <w:p w14:paraId="09A11415"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Místo makroekonomických prognóz a sázek na vývoj měnových kurzů se nadále soustředíme na budování vyváženého, diverzifikovaného portfolia, které dokáže reagovat na řadu scénářů.</w:t>
      </w:r>
    </w:p>
    <w:p w14:paraId="038C317D" w14:textId="77777777" w:rsidR="00FB2FC7" w:rsidRDefault="00FB2FC7" w:rsidP="00FB2FC7">
      <w:pPr>
        <w:spacing w:line="36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Oživení v oblasti technologií a umělé inteligence</w:t>
      </w:r>
    </w:p>
    <w:p w14:paraId="3453434E"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Andrew: Nadále se široce věnujeme tématu umělé inteligence. Sledujeme zejména chatboty s umělou inteligencí, které se prosazují v podnicích, a snažíme se zjistit, které podniky budou těžit ze zvýšení efektivity a produktivity a které podniky mohou zůstat pozadu.</w:t>
      </w:r>
    </w:p>
    <w:p w14:paraId="7949D855"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Hlavní digitální platformy integrovaly AI a nárůst využití AI od předních dodavatelů softwaru vede i k růstu produktivity. To posílilo důvěru trhu v dlouhodobou hodnotu</w:t>
      </w:r>
    </w:p>
    <w:p w14:paraId="20FD1C48"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lastRenderedPageBreak/>
        <w:t>investic do AI. I když si uvědomujeme riziko krátkodobých poklesů, věříme, že jsme stále na začátku tohoto trendu. Řídíme to prostřednictvím průběžné optimalizace portfolia.</w:t>
      </w:r>
    </w:p>
    <w:p w14:paraId="2932C31C"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Již nyní je patrný posun, protože AI se stále více stává součástí každodenních pracovních postupů. Spíše než očekávat nástup zcela nových, revolučních technologických firem, je zajímavější příležitostí to, jak stávající podniky integrují AI do svých provozních modelů.</w:t>
      </w:r>
    </w:p>
    <w:p w14:paraId="1B73D18E" w14:textId="77777777" w:rsidR="00FB2FC7" w:rsidRDefault="00FB2FC7" w:rsidP="00FB2FC7">
      <w:pPr>
        <w:spacing w:line="36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Inovace v Asii a Evropě</w:t>
      </w:r>
    </w:p>
    <w:p w14:paraId="453AF9E5"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James: Asie zůstává ústředním bodem revoluce v oblasti AI, zejména proto, že v tomto regionu sídlí mnoho předních světových výrobců čipů, zejména v Koreji a na Tchaj-wanu. Tyto „krumpáče a lopaty“ infrastruktury AI jsou základem širší technologické změny.</w:t>
      </w:r>
    </w:p>
    <w:p w14:paraId="0291A0B5"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Po uvedení ChatGPT na trh a prudkém nárůstu poptávky po grafických čipech NVIDIA jsme zaznamenali prudký růst valuací asijských technologických společností spojených s dodavatelským řetězcem NVIDIA, často nad úroveň, která nám připadala přijatelná. I když v oblasti hardwaru stále existují zajímavé příležitosti, vidíme potenciál také v IT službách a poradenských firmách, které budou těžit z rozvoje infrastruktury umělé inteligence.</w:t>
      </w:r>
    </w:p>
    <w:p w14:paraId="27CF036A"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Přesto však přetrvává nejistota, částečně kvůli geopolitickým faktorům, ale také kvůli širším otázkám týkajícím se konečné role AI v podpoře produktivity. Zatím jsou nejdůležitější v této oblasti valuace a my se současně orientujeme v tomto měnícím se prostředí.</w:t>
      </w:r>
    </w:p>
    <w:p w14:paraId="4BC2D42C"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Oliver: Věříme, že jsme stále v rané fázi implementace AI v podnicích, na počátku cesty, která by mohla být transformativní. Skutečný příslib AI spočívá v jejím potenciálu zvyšovat produktivitu, zejména v regionech, které čelí demografickým problémům.</w:t>
      </w:r>
    </w:p>
    <w:p w14:paraId="0C528496"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Na trzích, kde může být pracovní síla pro podniky drahá a obtížně přizpůsobitelná, jako například v Evropě, mohou digitální řešení pomoci vyrovnat výzvy spojené se stárnoucí pracovní silou tím, že podporují odcházející pracovníky efektivnějšími technologiemi. To by mohlo Evropě pomoci významně těžit z přijetí umělé inteligence, zejména s ohledem na její historicky nízký trend růstu v uplynulém desetiletí.</w:t>
      </w:r>
    </w:p>
    <w:p w14:paraId="54B537D9" w14:textId="77777777" w:rsidR="00FB2FC7" w:rsidRDefault="00FB2FC7" w:rsidP="00FB2FC7">
      <w:pPr>
        <w:spacing w:line="360" w:lineRule="auto"/>
        <w:rPr>
          <w:rFonts w:ascii="Invesco Interstate Light" w:eastAsia="MS Mincho" w:hAnsi="Invesco Interstate Light"/>
          <w:b/>
          <w:bCs/>
          <w:sz w:val="22"/>
          <w:szCs w:val="22"/>
          <w:lang w:eastAsia="ja-JP"/>
        </w:rPr>
      </w:pPr>
    </w:p>
    <w:p w14:paraId="472C5301" w14:textId="77777777" w:rsidR="00FB2FC7" w:rsidRDefault="00FB2FC7" w:rsidP="00FB2FC7">
      <w:pPr>
        <w:spacing w:line="360" w:lineRule="auto"/>
        <w:rPr>
          <w:rFonts w:ascii="Invesco Interstate Light" w:eastAsia="MS Mincho" w:hAnsi="Invesco Interstate Light"/>
          <w:b/>
          <w:bCs/>
          <w:sz w:val="22"/>
          <w:szCs w:val="22"/>
          <w:lang w:eastAsia="ja-JP"/>
        </w:rPr>
      </w:pPr>
    </w:p>
    <w:p w14:paraId="0A7918AB" w14:textId="77777777" w:rsidR="00FB2FC7" w:rsidRDefault="00FB2FC7" w:rsidP="00FB2FC7">
      <w:pPr>
        <w:spacing w:line="36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lastRenderedPageBreak/>
        <w:t>Elektrifikace v Evropě: Od cyklické k strukturální příležitosti</w:t>
      </w:r>
    </w:p>
    <w:p w14:paraId="62B420A6"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Oliver: Jedním z nejzajímavějších témat v Evropě je v současné době elektrifikace. Vidíme silný potenciál v základních faktorech této transformace, zejména u výrobců kabelů, kteří jsou nezbytní pro budování fyzické infrastruktury. Tyto společnosti, které byly kdysi považovány za vysoce cyklické, nyní těží z dlouhodobých investičních trendů, které jim dodávají více strukturálních charakteristik pro růst.</w:t>
      </w:r>
    </w:p>
    <w:p w14:paraId="335579EA"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Klíčovou roli hrají také energetické společnosti, a to nejen při implementaci, ale i při zvyšování výkonu. Jsou navíc podporované jasnou dlouhodobou trajektorií modernizace</w:t>
      </w:r>
      <w:r>
        <w:rPr>
          <w:rFonts w:ascii="Invesco Interstate Light" w:eastAsia="MS Mincho" w:hAnsi="Invesco Interstate Light"/>
          <w:sz w:val="22"/>
          <w:szCs w:val="22"/>
          <w:lang w:eastAsia="ja-JP"/>
        </w:rPr>
        <w:t xml:space="preserve"> </w:t>
      </w:r>
      <w:r w:rsidRPr="00FB2FC7">
        <w:rPr>
          <w:rFonts w:ascii="Invesco Interstate Light" w:eastAsia="MS Mincho" w:hAnsi="Invesco Interstate Light"/>
          <w:sz w:val="22"/>
          <w:szCs w:val="22"/>
          <w:lang w:eastAsia="ja-JP"/>
        </w:rPr>
        <w:t>energetických systémů. Ve světě plném nejistot vyniká toto téma tím, že je stále aktuální a atraktivními oceněními.</w:t>
      </w:r>
    </w:p>
    <w:p w14:paraId="7132D847" w14:textId="77777777" w:rsidR="00FB2FC7" w:rsidRDefault="00FB2FC7" w:rsidP="00FB2FC7">
      <w:pPr>
        <w:spacing w:line="36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Demografie a spotřebitelské trendy</w:t>
      </w:r>
    </w:p>
    <w:p w14:paraId="46A00691" w14:textId="77777777" w:rsidR="00EF7477" w:rsidRDefault="00EF7477" w:rsidP="00651AAE">
      <w:pPr>
        <w:autoSpaceDE w:val="0"/>
        <w:autoSpaceDN w:val="0"/>
        <w:adjustRightInd w:val="0"/>
        <w:spacing w:line="240" w:lineRule="auto"/>
        <w:rPr>
          <w:rFonts w:ascii="Invesco Interstate Light" w:hAnsi="Invesco Interstate Light"/>
          <w:b/>
          <w:bCs/>
          <w:sz w:val="22"/>
          <w:szCs w:val="22"/>
        </w:rPr>
      </w:pPr>
    </w:p>
    <w:p w14:paraId="0428BC60" w14:textId="77777777" w:rsidR="00FB2FC7" w:rsidRPr="00FB2FC7" w:rsidRDefault="00FB2FC7" w:rsidP="00FB2FC7">
      <w:pPr>
        <w:autoSpaceDE w:val="0"/>
        <w:autoSpaceDN w:val="0"/>
        <w:adjustRightInd w:val="0"/>
        <w:spacing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Andrew: Domníváme se, že pro úspěšné investování zůstává klíčových několik dlouhodobých strukturálních trendů. Jedním z nich je poměr ceny a kvality. Vzhledem k tomu, že spotřebitelé čelí po pandemii covidu přísnějším finančním podmínkám, mají podniky, které nabízejí dostupnost bez kompromisů v kvalitě, dobré předpoklady pro růst. Společnosti zaměřené na nákladovou efektivitu a konkurenceschopné ceny budou pravděpodobně i nadále přitahovat věrné zákazníky a přinášet stabilní výnosy.</w:t>
      </w:r>
    </w:p>
    <w:p w14:paraId="29CF5E3B" w14:textId="77777777" w:rsidR="00FB2FC7" w:rsidRDefault="00FB2FC7" w:rsidP="00651AAE">
      <w:pPr>
        <w:autoSpaceDE w:val="0"/>
        <w:autoSpaceDN w:val="0"/>
        <w:adjustRightInd w:val="0"/>
        <w:spacing w:line="240" w:lineRule="auto"/>
        <w:rPr>
          <w:rFonts w:ascii="Invesco Interstate Light" w:hAnsi="Invesco Interstate Light"/>
          <w:b/>
          <w:bCs/>
          <w:sz w:val="22"/>
          <w:szCs w:val="22"/>
        </w:rPr>
      </w:pPr>
    </w:p>
    <w:p w14:paraId="135ECF7C" w14:textId="77777777" w:rsidR="00FB2FC7" w:rsidRDefault="00FB2FC7" w:rsidP="00FB2FC7">
      <w:pPr>
        <w:spacing w:line="36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Příležitosti na rozvíjejících se trzích</w:t>
      </w:r>
    </w:p>
    <w:p w14:paraId="374A778D"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James: Nadhodnocujeme Koreu a Brazílii, kde vidíme zajímavé příležitosti. V Koreji reformy správy a řízení společností podporují zlepšení výkonnosti podniků a výnosů akcionářů. Podle našeho názoru jsou korejské akcie často podhodnocené, mnoho z nich se obchoduje pod svou hodnotou a jejich růstový potenciál je podceňován, což někdy může přinést příjemné překvapení. Naše portfolio je v Koreji nadhodnocené, abychom mohli tento potenciál využít.</w:t>
      </w:r>
    </w:p>
    <w:p w14:paraId="3ED93C35"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Pozorujeme hodnotu i v Brazílii, a to i přes nedávný slabý výkon způsobený vysokými úrokovými sazbami. Očekáváme oživení s uvolněním měnové politiky a obnovením růstu zisků. Naše nadváha odráží důvěru v potenciál oživení trhu.</w:t>
      </w:r>
    </w:p>
    <w:p w14:paraId="2EE78AE2" w14:textId="77777777" w:rsidR="00FB2FC7" w:rsidRPr="00FB2FC7" w:rsidRDefault="00FB2FC7" w:rsidP="00FB2FC7">
      <w:pPr>
        <w:spacing w:before="100" w:beforeAutospacing="1" w:after="100" w:afterAutospacing="1" w:line="360" w:lineRule="auto"/>
        <w:jc w:val="both"/>
        <w:rPr>
          <w:rFonts w:ascii="Invesco Interstate Light" w:eastAsia="MS Mincho" w:hAnsi="Invesco Interstate Light"/>
          <w:sz w:val="22"/>
          <w:szCs w:val="22"/>
          <w:lang w:eastAsia="ja-JP"/>
        </w:rPr>
      </w:pPr>
      <w:r w:rsidRPr="00FB2FC7">
        <w:rPr>
          <w:rFonts w:ascii="Invesco Interstate Light" w:eastAsia="MS Mincho" w:hAnsi="Invesco Interstate Light"/>
          <w:sz w:val="22"/>
          <w:szCs w:val="22"/>
          <w:lang w:eastAsia="ja-JP"/>
        </w:rPr>
        <w:t xml:space="preserve">Udržujeme také silnou expozici vůči surovinám, jako je železná ruda a měď. Ačkoli trhy často velmi citlivě reagují na změny poptávky, domníváme se, že omezení na straně nabídky, zejména na koncentrovaných </w:t>
      </w:r>
      <w:r w:rsidRPr="00FB2FC7">
        <w:rPr>
          <w:rFonts w:ascii="Invesco Interstate Light" w:eastAsia="MS Mincho" w:hAnsi="Invesco Interstate Light"/>
          <w:sz w:val="22"/>
          <w:szCs w:val="22"/>
          <w:lang w:eastAsia="ja-JP"/>
        </w:rPr>
        <w:lastRenderedPageBreak/>
        <w:t>trzích, jsou podceňována a mohou způsobit významné cenové změny. To vytváří příznivé prostředí pro dlouhodobé investice do komodit.</w:t>
      </w:r>
    </w:p>
    <w:p w14:paraId="03C7BA7A" w14:textId="77777777" w:rsidR="00FB2FC7" w:rsidRDefault="00FB2FC7" w:rsidP="00651AAE">
      <w:pPr>
        <w:autoSpaceDE w:val="0"/>
        <w:autoSpaceDN w:val="0"/>
        <w:adjustRightInd w:val="0"/>
        <w:spacing w:line="240" w:lineRule="auto"/>
        <w:rPr>
          <w:rFonts w:ascii="Invesco Interstate Light" w:hAnsi="Invesco Interstate Light"/>
          <w:b/>
          <w:bCs/>
          <w:sz w:val="22"/>
          <w:szCs w:val="22"/>
        </w:rPr>
      </w:pPr>
    </w:p>
    <w:p w14:paraId="20497A8B" w14:textId="77777777" w:rsidR="00497B07" w:rsidRPr="00654055" w:rsidRDefault="4E481D2D" w:rsidP="00651AAE">
      <w:pPr>
        <w:autoSpaceDE w:val="0"/>
        <w:autoSpaceDN w:val="0"/>
        <w:adjustRightInd w:val="0"/>
        <w:spacing w:line="240" w:lineRule="auto"/>
        <w:rPr>
          <w:rFonts w:ascii="Invesco Interstate Light" w:hAnsi="Invesco Interstate Light"/>
          <w:b/>
          <w:bCs/>
          <w:sz w:val="22"/>
          <w:szCs w:val="22"/>
        </w:rPr>
      </w:pPr>
      <w:r w:rsidRPr="00654055">
        <w:rPr>
          <w:rFonts w:ascii="Invesco Interstate Light" w:hAnsi="Invesco Interstate Light"/>
          <w:b/>
          <w:bCs/>
          <w:sz w:val="22"/>
          <w:szCs w:val="22"/>
        </w:rPr>
        <w:t>O společnosti Invesco</w:t>
      </w:r>
    </w:p>
    <w:p w14:paraId="3DEEDE05"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FC83026"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Invesco Asset Management Deutschland GmbH, Invesco Asset Management Österreich – pobočka pobočky Invesco Asset Management Deutschland GmbH</w:t>
      </w:r>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jsou součástí Invesco Ltd., společnosti pro správu aktiv se spravovanými aktivy v hodnotě více než 1 593 miliard USD (k 31. říjnu 2021).</w:t>
      </w:r>
    </w:p>
    <w:p w14:paraId="0DEBDC7A"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C75F06A"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 případě jakýchkoli dotazů nebo potřeby dalších informací se obraťte na společnost Invesco Asset Management Deutschland GmbH, Valentin Jakubow, telefon +49 69 29807-311.</w:t>
      </w:r>
    </w:p>
    <w:p w14:paraId="4394DFE9"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415EB97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9FE29E7"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569A5FAE"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7B556B1A"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Vydavatelem těchto informací v České republice je společnost Invesco Asset Management Deutschland GmbH, An der Welle 5, D-60322 Frankfurt nad Mohanem.</w:t>
      </w:r>
      <w:r>
        <w:rPr>
          <w:rFonts w:ascii="Invesco Interstate Light" w:hAnsi="Invesco Interstate Light"/>
          <w:sz w:val="22"/>
          <w:szCs w:val="22"/>
        </w:rPr>
        <w:t xml:space="preserve"> </w:t>
      </w:r>
      <w:r w:rsidRPr="000E12B4">
        <w:rPr>
          <w:rFonts w:ascii="Invesco Interstate Light" w:hAnsi="Invesco Interstate Light"/>
          <w:sz w:val="22"/>
          <w:szCs w:val="22"/>
        </w:rPr>
        <w:t>Red Oak ID: 1958016</w:t>
      </w:r>
    </w:p>
    <w:p w14:paraId="16FABCEF"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2C2ED34C" w14:textId="77777777"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1B6CE679"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3BD27DF5" w14:textId="77777777"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1536FD38"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799CFF51"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16FBCC8D"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gsm: + 420 720 406 659</w:t>
      </w:r>
    </w:p>
    <w:p w14:paraId="54E2F618" w14:textId="77777777"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1" w:history="1">
        <w:r w:rsidRPr="00873CBF">
          <w:rPr>
            <w:rFonts w:ascii="Invesco Interstate Light" w:hAnsi="Invesco Interstate Light"/>
            <w:sz w:val="22"/>
            <w:szCs w:val="22"/>
          </w:rPr>
          <w:t>eliska.krohova@crestcom.cz</w:t>
        </w:r>
      </w:hyperlink>
    </w:p>
    <w:sectPr w:rsidR="00B84512" w:rsidRPr="00907B79" w:rsidSect="004854C2">
      <w:headerReference w:type="default" r:id="rId12"/>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CF66" w14:textId="77777777" w:rsidR="001F41E8" w:rsidRDefault="001F41E8">
      <w:r>
        <w:separator/>
      </w:r>
    </w:p>
  </w:endnote>
  <w:endnote w:type="continuationSeparator" w:id="0">
    <w:p w14:paraId="6D108A96" w14:textId="77777777" w:rsidR="001F41E8" w:rsidRDefault="001F41E8">
      <w:r>
        <w:continuationSeparator/>
      </w:r>
    </w:p>
  </w:endnote>
  <w:endnote w:type="continuationNotice" w:id="1">
    <w:p w14:paraId="0692869C" w14:textId="77777777" w:rsidR="001F41E8" w:rsidRDefault="001F41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7473" w14:textId="77777777" w:rsidR="001F41E8" w:rsidRDefault="001F41E8">
      <w:r>
        <w:separator/>
      </w:r>
    </w:p>
  </w:footnote>
  <w:footnote w:type="continuationSeparator" w:id="0">
    <w:p w14:paraId="5BDEA1DA" w14:textId="77777777" w:rsidR="001F41E8" w:rsidRDefault="001F41E8">
      <w:r>
        <w:continuationSeparator/>
      </w:r>
    </w:p>
  </w:footnote>
  <w:footnote w:type="continuationNotice" w:id="1">
    <w:p w14:paraId="5A15E3E8" w14:textId="77777777" w:rsidR="001F41E8" w:rsidRDefault="001F41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2A4C" w14:textId="77777777"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20EA7C76" wp14:editId="5EB56C51">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anchor>
      </w:drawing>
    </w:r>
    <w:r w:rsidR="59A5D358">
      <w:rPr>
        <w:rFonts w:ascii="Invesco Interstate Bold" w:hAnsi="Invesco Interstate Bold"/>
        <w:sz w:val="28"/>
        <w:szCs w:val="28"/>
      </w:rPr>
      <w:t>Press release</w:t>
    </w:r>
  </w:p>
  <w:p w14:paraId="56B374CF"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3D9502D0" w14:textId="77777777" w:rsidR="00702C33" w:rsidRPr="000730A6" w:rsidRDefault="00233583" w:rsidP="0083625E">
    <w:pPr>
      <w:pStyle w:val="Zhlav"/>
      <w:pBdr>
        <w:top w:val="single" w:sz="4" w:space="3" w:color="auto"/>
      </w:pBdr>
      <w:spacing w:line="298" w:lineRule="exact"/>
      <w:ind w:left="3402"/>
      <w:jc w:val="right"/>
      <w:rPr>
        <w:color w:val="000000"/>
        <w:sz w:val="28"/>
        <w:szCs w:val="28"/>
      </w:rPr>
    </w:pPr>
    <w:r>
      <w:rPr>
        <w:color w:val="000000"/>
        <w:sz w:val="28"/>
        <w:szCs w:val="28"/>
      </w:rPr>
      <w:t>29</w:t>
    </w:r>
    <w:r w:rsidR="0083625E">
      <w:rPr>
        <w:color w:val="000000"/>
        <w:sz w:val="28"/>
        <w:szCs w:val="28"/>
      </w:rPr>
      <w:t>.</w:t>
    </w:r>
    <w:r w:rsidR="00EF7477">
      <w:rPr>
        <w:color w:val="000000"/>
        <w:sz w:val="28"/>
        <w:szCs w:val="28"/>
      </w:rPr>
      <w:t>7</w:t>
    </w:r>
    <w:r w:rsidR="00BE4A7F">
      <w:rPr>
        <w:color w:val="000000"/>
        <w:sz w:val="28"/>
        <w:szCs w:val="28"/>
      </w:rPr>
      <w:t>.</w:t>
    </w:r>
    <w:r w:rsidR="0083625E">
      <w:rPr>
        <w:color w:val="000000"/>
        <w:sz w:val="28"/>
        <w:szCs w:val="28"/>
      </w:rPr>
      <w:t>202</w:t>
    </w:r>
    <w:r w:rsidR="00055A79">
      <w:rPr>
        <w:color w:val="000000"/>
        <w:sz w:val="28"/>
        <w:szCs w:val="28"/>
      </w:rPr>
      <w:t>5</w:t>
    </w:r>
  </w:p>
  <w:p w14:paraId="1899C8B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5EB5140D"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63CF2A2F"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D9249C2" w14:textId="77777777"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D403C3"/>
    <w:multiLevelType w:val="multilevel"/>
    <w:tmpl w:val="11820CCE"/>
    <w:numStyleLink w:val="FormatvorlageAufgezhlt"/>
  </w:abstractNum>
  <w:abstractNum w:abstractNumId="30" w15:restartNumberingAfterBreak="0">
    <w:nsid w:val="6C6C4721"/>
    <w:multiLevelType w:val="multilevel"/>
    <w:tmpl w:val="11820CCE"/>
    <w:numStyleLink w:val="FormatvorlageAufgezhlt"/>
  </w:abstractNum>
  <w:abstractNum w:abstractNumId="31"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E5380B"/>
    <w:multiLevelType w:val="multilevel"/>
    <w:tmpl w:val="11820CCE"/>
    <w:numStyleLink w:val="FormatvorlageAufgezhlt"/>
  </w:abstractNum>
  <w:abstractNum w:abstractNumId="33"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157060">
    <w:abstractNumId w:val="0"/>
  </w:num>
  <w:num w:numId="2" w16cid:durableId="236937149">
    <w:abstractNumId w:val="16"/>
  </w:num>
  <w:num w:numId="3" w16cid:durableId="1329216002">
    <w:abstractNumId w:val="26"/>
  </w:num>
  <w:num w:numId="4" w16cid:durableId="2022704192">
    <w:abstractNumId w:val="17"/>
  </w:num>
  <w:num w:numId="5" w16cid:durableId="1363936937">
    <w:abstractNumId w:val="20"/>
  </w:num>
  <w:num w:numId="6" w16cid:durableId="21517287">
    <w:abstractNumId w:val="29"/>
  </w:num>
  <w:num w:numId="7" w16cid:durableId="19943360">
    <w:abstractNumId w:val="30"/>
  </w:num>
  <w:num w:numId="8" w16cid:durableId="1797992554">
    <w:abstractNumId w:val="1"/>
  </w:num>
  <w:num w:numId="9" w16cid:durableId="1372611369">
    <w:abstractNumId w:val="32"/>
  </w:num>
  <w:num w:numId="10" w16cid:durableId="227690247">
    <w:abstractNumId w:val="14"/>
  </w:num>
  <w:num w:numId="11" w16cid:durableId="142234801">
    <w:abstractNumId w:val="5"/>
  </w:num>
  <w:num w:numId="12" w16cid:durableId="1049763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1599367">
    <w:abstractNumId w:val="38"/>
  </w:num>
  <w:num w:numId="14" w16cid:durableId="1801419568">
    <w:abstractNumId w:val="39"/>
  </w:num>
  <w:num w:numId="15" w16cid:durableId="874587790">
    <w:abstractNumId w:val="25"/>
  </w:num>
  <w:num w:numId="16" w16cid:durableId="999114650">
    <w:abstractNumId w:val="9"/>
  </w:num>
  <w:num w:numId="17" w16cid:durableId="375589857">
    <w:abstractNumId w:val="2"/>
  </w:num>
  <w:num w:numId="18" w16cid:durableId="1092627987">
    <w:abstractNumId w:val="28"/>
  </w:num>
  <w:num w:numId="19" w16cid:durableId="675421143">
    <w:abstractNumId w:val="31"/>
  </w:num>
  <w:num w:numId="20" w16cid:durableId="1916934037">
    <w:abstractNumId w:val="36"/>
  </w:num>
  <w:num w:numId="21" w16cid:durableId="1068185852">
    <w:abstractNumId w:val="34"/>
  </w:num>
  <w:num w:numId="22" w16cid:durableId="1619486670">
    <w:abstractNumId w:val="13"/>
  </w:num>
  <w:num w:numId="23" w16cid:durableId="915283842">
    <w:abstractNumId w:val="24"/>
  </w:num>
  <w:num w:numId="24" w16cid:durableId="1031567345">
    <w:abstractNumId w:val="18"/>
  </w:num>
  <w:num w:numId="25" w16cid:durableId="59712830">
    <w:abstractNumId w:val="37"/>
  </w:num>
  <w:num w:numId="26" w16cid:durableId="1158154779">
    <w:abstractNumId w:val="23"/>
  </w:num>
  <w:num w:numId="27" w16cid:durableId="618025591">
    <w:abstractNumId w:val="3"/>
  </w:num>
  <w:num w:numId="28" w16cid:durableId="116604705">
    <w:abstractNumId w:val="7"/>
  </w:num>
  <w:num w:numId="29" w16cid:durableId="414519511">
    <w:abstractNumId w:val="33"/>
  </w:num>
  <w:num w:numId="30" w16cid:durableId="1923955029">
    <w:abstractNumId w:val="11"/>
  </w:num>
  <w:num w:numId="31" w16cid:durableId="2042783675">
    <w:abstractNumId w:val="8"/>
  </w:num>
  <w:num w:numId="32" w16cid:durableId="736705903">
    <w:abstractNumId w:val="15"/>
  </w:num>
  <w:num w:numId="33" w16cid:durableId="1434937768">
    <w:abstractNumId w:val="22"/>
  </w:num>
  <w:num w:numId="34" w16cid:durableId="1542207681">
    <w:abstractNumId w:val="19"/>
  </w:num>
  <w:num w:numId="35" w16cid:durableId="1305039757">
    <w:abstractNumId w:val="21"/>
  </w:num>
  <w:num w:numId="36" w16cid:durableId="200480464">
    <w:abstractNumId w:val="6"/>
  </w:num>
  <w:num w:numId="37" w16cid:durableId="932857010">
    <w:abstractNumId w:val="12"/>
  </w:num>
  <w:num w:numId="38" w16cid:durableId="1670402533">
    <w:abstractNumId w:val="35"/>
  </w:num>
  <w:num w:numId="39" w16cid:durableId="1179927034">
    <w:abstractNumId w:val="27"/>
  </w:num>
  <w:num w:numId="40" w16cid:durableId="22577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cs-CZ" w:vendorID="64" w:dllVersion="4096" w:nlCheck="1" w:checkStyle="0"/>
  <w:activeWritingStyle w:appName="MSWord" w:lang="cs-CZ"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3DC5"/>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B6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25A4"/>
    <w:rsid w:val="001E290E"/>
    <w:rsid w:val="001E3CFF"/>
    <w:rsid w:val="001E411A"/>
    <w:rsid w:val="001E43C4"/>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1E8"/>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583"/>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23C"/>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2109"/>
    <w:rsid w:val="00362710"/>
    <w:rsid w:val="003647F8"/>
    <w:rsid w:val="0036569C"/>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220C"/>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90D"/>
    <w:rsid w:val="003F7E5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4165"/>
    <w:rsid w:val="00425147"/>
    <w:rsid w:val="00425295"/>
    <w:rsid w:val="0042534C"/>
    <w:rsid w:val="00425D12"/>
    <w:rsid w:val="00426F2B"/>
    <w:rsid w:val="004278A1"/>
    <w:rsid w:val="00430033"/>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BFF"/>
    <w:rsid w:val="00543FF7"/>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8B1"/>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16AAF"/>
    <w:rsid w:val="00620290"/>
    <w:rsid w:val="00620A19"/>
    <w:rsid w:val="00621F2F"/>
    <w:rsid w:val="00624F63"/>
    <w:rsid w:val="00625088"/>
    <w:rsid w:val="00625117"/>
    <w:rsid w:val="006254BE"/>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868"/>
    <w:rsid w:val="00750BA7"/>
    <w:rsid w:val="00750BC7"/>
    <w:rsid w:val="0075126B"/>
    <w:rsid w:val="00751AED"/>
    <w:rsid w:val="00751E4A"/>
    <w:rsid w:val="0075204D"/>
    <w:rsid w:val="00752265"/>
    <w:rsid w:val="0075320C"/>
    <w:rsid w:val="00753466"/>
    <w:rsid w:val="0075360F"/>
    <w:rsid w:val="00753DCE"/>
    <w:rsid w:val="00753F28"/>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5194"/>
    <w:rsid w:val="00796178"/>
    <w:rsid w:val="00797192"/>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D6"/>
    <w:rsid w:val="0083615A"/>
    <w:rsid w:val="0083625E"/>
    <w:rsid w:val="0083655A"/>
    <w:rsid w:val="008371C9"/>
    <w:rsid w:val="0083729E"/>
    <w:rsid w:val="008376C9"/>
    <w:rsid w:val="008408DE"/>
    <w:rsid w:val="0084257D"/>
    <w:rsid w:val="0084263F"/>
    <w:rsid w:val="008427A0"/>
    <w:rsid w:val="00842B32"/>
    <w:rsid w:val="00842EE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60260"/>
    <w:rsid w:val="00860B32"/>
    <w:rsid w:val="00860F0D"/>
    <w:rsid w:val="00860F0F"/>
    <w:rsid w:val="00860F8C"/>
    <w:rsid w:val="00861B48"/>
    <w:rsid w:val="00861B8F"/>
    <w:rsid w:val="00861D78"/>
    <w:rsid w:val="00862029"/>
    <w:rsid w:val="008625A7"/>
    <w:rsid w:val="00862A59"/>
    <w:rsid w:val="0086305E"/>
    <w:rsid w:val="008636F3"/>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2983"/>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6377"/>
    <w:rsid w:val="00936836"/>
    <w:rsid w:val="00936A7D"/>
    <w:rsid w:val="00937386"/>
    <w:rsid w:val="00937510"/>
    <w:rsid w:val="00937600"/>
    <w:rsid w:val="00937ABB"/>
    <w:rsid w:val="0094012C"/>
    <w:rsid w:val="00940878"/>
    <w:rsid w:val="00941A73"/>
    <w:rsid w:val="00941BC0"/>
    <w:rsid w:val="0094243E"/>
    <w:rsid w:val="0094262D"/>
    <w:rsid w:val="00943447"/>
    <w:rsid w:val="00943BE2"/>
    <w:rsid w:val="00943C2D"/>
    <w:rsid w:val="00943C71"/>
    <w:rsid w:val="00943FA5"/>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EDB"/>
    <w:rsid w:val="00960FD2"/>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C1B"/>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1805"/>
    <w:rsid w:val="00A13114"/>
    <w:rsid w:val="00A136C8"/>
    <w:rsid w:val="00A13C63"/>
    <w:rsid w:val="00A144BA"/>
    <w:rsid w:val="00A148D1"/>
    <w:rsid w:val="00A15F53"/>
    <w:rsid w:val="00A1699D"/>
    <w:rsid w:val="00A20F8F"/>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3B2"/>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1B7"/>
    <w:rsid w:val="00B9466B"/>
    <w:rsid w:val="00B946AB"/>
    <w:rsid w:val="00B95593"/>
    <w:rsid w:val="00B95CB1"/>
    <w:rsid w:val="00B95ED8"/>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858"/>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5D86"/>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154F"/>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6C"/>
    <w:rsid w:val="00D62166"/>
    <w:rsid w:val="00D62DDB"/>
    <w:rsid w:val="00D630FA"/>
    <w:rsid w:val="00D631C3"/>
    <w:rsid w:val="00D63C0B"/>
    <w:rsid w:val="00D6401C"/>
    <w:rsid w:val="00D669B3"/>
    <w:rsid w:val="00D66A0A"/>
    <w:rsid w:val="00D66EBA"/>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DA9"/>
    <w:rsid w:val="00DA0DE3"/>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498D"/>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24CB"/>
    <w:rsid w:val="00E133F7"/>
    <w:rsid w:val="00E13780"/>
    <w:rsid w:val="00E13BED"/>
    <w:rsid w:val="00E1452B"/>
    <w:rsid w:val="00E153B3"/>
    <w:rsid w:val="00E15BC5"/>
    <w:rsid w:val="00E16340"/>
    <w:rsid w:val="00E1713C"/>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49C"/>
    <w:rsid w:val="00EA2639"/>
    <w:rsid w:val="00EA297F"/>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EF7477"/>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2FC7"/>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96F"/>
    <w:rsid w:val="00FD6A86"/>
    <w:rsid w:val="00FE0580"/>
    <w:rsid w:val="00FE0582"/>
    <w:rsid w:val="00FE1044"/>
    <w:rsid w:val="00FE1EE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E481D2D"/>
    <w:rsid w:val="59A5D358"/>
    <w:rsid w:val="61727A13"/>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FCEC"/>
  <w15:docId w15:val="{EDDF9F01-5302-4C6B-AF1E-5F28F11A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26787471">
      <w:bodyDiv w:val="1"/>
      <w:marLeft w:val="0"/>
      <w:marRight w:val="0"/>
      <w:marTop w:val="0"/>
      <w:marBottom w:val="0"/>
      <w:divBdr>
        <w:top w:val="none" w:sz="0" w:space="0" w:color="auto"/>
        <w:left w:val="none" w:sz="0" w:space="0" w:color="auto"/>
        <w:bottom w:val="none" w:sz="0" w:space="0" w:color="auto"/>
        <w:right w:val="none" w:sz="0" w:space="0" w:color="auto"/>
      </w:divBdr>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34792405">
      <w:bodyDiv w:val="1"/>
      <w:marLeft w:val="0"/>
      <w:marRight w:val="0"/>
      <w:marTop w:val="0"/>
      <w:marBottom w:val="0"/>
      <w:divBdr>
        <w:top w:val="none" w:sz="0" w:space="0" w:color="auto"/>
        <w:left w:val="none" w:sz="0" w:space="0" w:color="auto"/>
        <w:bottom w:val="none" w:sz="0" w:space="0" w:color="auto"/>
        <w:right w:val="none" w:sz="0" w:space="0" w:color="auto"/>
      </w:divBdr>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8867566">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828862838">
      <w:bodyDiv w:val="1"/>
      <w:marLeft w:val="0"/>
      <w:marRight w:val="0"/>
      <w:marTop w:val="0"/>
      <w:marBottom w:val="0"/>
      <w:divBdr>
        <w:top w:val="none" w:sz="0" w:space="0" w:color="auto"/>
        <w:left w:val="none" w:sz="0" w:space="0" w:color="auto"/>
        <w:bottom w:val="none" w:sz="0" w:space="0" w:color="auto"/>
        <w:right w:val="none" w:sz="0" w:space="0" w:color="auto"/>
      </w:divBdr>
    </w:div>
    <w:div w:id="890843287">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090393569">
      <w:bodyDiv w:val="1"/>
      <w:marLeft w:val="0"/>
      <w:marRight w:val="0"/>
      <w:marTop w:val="0"/>
      <w:marBottom w:val="0"/>
      <w:divBdr>
        <w:top w:val="none" w:sz="0" w:space="0" w:color="auto"/>
        <w:left w:val="none" w:sz="0" w:space="0" w:color="auto"/>
        <w:bottom w:val="none" w:sz="0" w:space="0" w:color="auto"/>
        <w:right w:val="none" w:sz="0" w:space="0" w:color="auto"/>
      </w:divBdr>
    </w:div>
    <w:div w:id="1092705695">
      <w:bodyDiv w:val="1"/>
      <w:marLeft w:val="0"/>
      <w:marRight w:val="0"/>
      <w:marTop w:val="0"/>
      <w:marBottom w:val="0"/>
      <w:divBdr>
        <w:top w:val="none" w:sz="0" w:space="0" w:color="auto"/>
        <w:left w:val="none" w:sz="0" w:space="0" w:color="auto"/>
        <w:bottom w:val="none" w:sz="0" w:space="0" w:color="auto"/>
        <w:right w:val="none" w:sz="0" w:space="0" w:color="auto"/>
      </w:divBdr>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874071030">
      <w:bodyDiv w:val="1"/>
      <w:marLeft w:val="0"/>
      <w:marRight w:val="0"/>
      <w:marTop w:val="0"/>
      <w:marBottom w:val="0"/>
      <w:divBdr>
        <w:top w:val="none" w:sz="0" w:space="0" w:color="auto"/>
        <w:left w:val="none" w:sz="0" w:space="0" w:color="auto"/>
        <w:bottom w:val="none" w:sz="0" w:space="0" w:color="auto"/>
        <w:right w:val="none" w:sz="0" w:space="0" w:color="auto"/>
      </w:divBdr>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01692673">
      <w:bodyDiv w:val="1"/>
      <w:marLeft w:val="0"/>
      <w:marRight w:val="0"/>
      <w:marTop w:val="0"/>
      <w:marBottom w:val="0"/>
      <w:divBdr>
        <w:top w:val="none" w:sz="0" w:space="0" w:color="auto"/>
        <w:left w:val="none" w:sz="0" w:space="0" w:color="auto"/>
        <w:bottom w:val="none" w:sz="0" w:space="0" w:color="auto"/>
        <w:right w:val="none" w:sz="0" w:space="0" w:color="auto"/>
      </w:divBdr>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 w:id="214030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7" ma:contentTypeDescription="Vytvoří nový dokument" ma:contentTypeScope="" ma:versionID="4d8c69a6b026994095c8e68991c8bc3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e331254a31459b64dcabebdebfadf7e"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F827E8DE-A333-49DC-A4E6-F91D890B99A2}">
  <ds:schemaRefs>
    <ds:schemaRef ds:uri="http://schemas.openxmlformats.org/officeDocument/2006/bibliography"/>
  </ds:schemaRefs>
</ds:datastoreItem>
</file>

<file path=customXml/itemProps4.xml><?xml version="1.0" encoding="utf-8"?>
<ds:datastoreItem xmlns:ds="http://schemas.openxmlformats.org/officeDocument/2006/customXml" ds:itemID="{AF85A6B3-D168-4585-B88B-E5276F678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1714</Words>
  <Characters>10113</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Performance</vt:lpstr>
      <vt:lpstr>Performance</vt:lpstr>
    </vt:vector>
  </TitlesOfParts>
  <Company>INVESCO</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Eliška Krohová</cp:lastModifiedBy>
  <cp:revision>2</cp:revision>
  <cp:lastPrinted>2021-02-17T20:24:00Z</cp:lastPrinted>
  <dcterms:created xsi:type="dcterms:W3CDTF">2025-07-29T10:58:00Z</dcterms:created>
  <dcterms:modified xsi:type="dcterms:W3CDTF">2025-07-29T10:58:00Z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ies>
</file>