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4422E" w14:textId="77777777" w:rsidR="002E0BB9" w:rsidRDefault="002E0BB9" w:rsidP="002E0BB9">
      <w:pPr>
        <w:pStyle w:val="Nadpis2"/>
        <w:pBdr>
          <w:bottom w:val="single" w:sz="12" w:space="0" w:color="000000"/>
        </w:pBdr>
        <w:spacing w:line="320" w:lineRule="atLeast"/>
        <w:jc w:val="center"/>
        <w:rPr>
          <w:rFonts w:ascii="Arial" w:hAnsi="Arial"/>
          <w:b/>
          <w:bCs/>
          <w:color w:val="000000"/>
          <w:sz w:val="28"/>
          <w:szCs w:val="28"/>
          <w:u w:color="000000"/>
        </w:rPr>
      </w:pPr>
      <w:r w:rsidRPr="00207CA9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</w:rPr>
        <w:instrText xml:space="preserve"> INCLUDEPICTURE "C:\\var\\folders\\k5\\bvs841nx66b7rs54nr3ht2c80000gn\\T\\com.microsoft.Word\\WebArchiveCopyPasteTempFiles\\page1image56566208" \* MERGEFORMAT </w:instrText>
      </w:r>
      <w:r w:rsidRPr="00207CA9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207CA9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BE3EC00" wp14:editId="01E1A8BA">
            <wp:extent cx="1356482" cy="333213"/>
            <wp:effectExtent l="0" t="0" r="2540" b="0"/>
            <wp:docPr id="12" name="Obrázek 12" descr="page1image56566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page1image5656620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501" cy="386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7CA9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14:paraId="795BA55D" w14:textId="116A772D" w:rsidR="002E0BB9" w:rsidRDefault="002E0BB9" w:rsidP="002E0BB9">
      <w:pPr>
        <w:pStyle w:val="Nadpis2"/>
        <w:pBdr>
          <w:bottom w:val="single" w:sz="12" w:space="0" w:color="000000"/>
        </w:pBdr>
        <w:spacing w:line="320" w:lineRule="atLeast"/>
        <w:jc w:val="both"/>
        <w:rPr>
          <w:b/>
          <w:bCs/>
          <w:i/>
          <w:iCs/>
          <w:color w:val="000000"/>
          <w:sz w:val="28"/>
          <w:szCs w:val="28"/>
          <w:u w:color="000000"/>
        </w:rPr>
      </w:pPr>
      <w:r w:rsidRPr="00A421DB">
        <w:rPr>
          <w:rFonts w:ascii="Arial" w:hAnsi="Arial"/>
          <w:b/>
          <w:bCs/>
          <w:color w:val="000000"/>
          <w:sz w:val="28"/>
          <w:szCs w:val="28"/>
          <w:u w:color="000000"/>
        </w:rPr>
        <w:t>TISKOVÁ ZPRÁVA</w:t>
      </w:r>
      <w:r>
        <w:rPr>
          <w:rFonts w:ascii="Arial" w:eastAsia="Arial" w:hAnsi="Arial" w:cs="Arial"/>
          <w:b/>
          <w:bCs/>
          <w:color w:val="000000"/>
          <w:sz w:val="28"/>
          <w:szCs w:val="28"/>
          <w:u w:color="000000"/>
        </w:rPr>
        <w:tab/>
      </w:r>
      <w:r>
        <w:rPr>
          <w:rFonts w:ascii="Arial" w:eastAsia="Arial" w:hAnsi="Arial" w:cs="Arial"/>
          <w:b/>
          <w:bCs/>
          <w:color w:val="000000"/>
          <w:sz w:val="28"/>
          <w:szCs w:val="28"/>
          <w:u w:color="000000"/>
        </w:rPr>
        <w:tab/>
      </w:r>
      <w:r>
        <w:rPr>
          <w:rFonts w:ascii="Arial" w:eastAsia="Arial" w:hAnsi="Arial" w:cs="Arial"/>
          <w:b/>
          <w:bCs/>
          <w:color w:val="000000"/>
          <w:sz w:val="28"/>
          <w:szCs w:val="28"/>
          <w:u w:color="000000"/>
        </w:rPr>
        <w:tab/>
      </w:r>
      <w:r>
        <w:rPr>
          <w:rFonts w:ascii="Arial" w:eastAsia="Arial" w:hAnsi="Arial" w:cs="Arial"/>
          <w:b/>
          <w:bCs/>
          <w:color w:val="000000"/>
          <w:sz w:val="28"/>
          <w:szCs w:val="28"/>
          <w:u w:color="000000"/>
        </w:rPr>
        <w:tab/>
      </w:r>
      <w:r>
        <w:rPr>
          <w:rFonts w:ascii="Arial" w:eastAsia="Arial" w:hAnsi="Arial" w:cs="Arial"/>
          <w:b/>
          <w:bCs/>
          <w:color w:val="000000"/>
          <w:sz w:val="28"/>
          <w:szCs w:val="28"/>
          <w:u w:color="000000"/>
        </w:rPr>
        <w:tab/>
        <w:t xml:space="preserve">        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u w:color="000000"/>
        </w:rPr>
        <w:tab/>
      </w:r>
      <w:r>
        <w:rPr>
          <w:rFonts w:ascii="Arial" w:hAnsi="Arial"/>
          <w:b/>
          <w:bCs/>
          <w:color w:val="000000"/>
          <w:sz w:val="28"/>
          <w:szCs w:val="28"/>
          <w:u w:color="000000"/>
        </w:rPr>
        <w:t xml:space="preserve">    </w:t>
      </w:r>
      <w:r>
        <w:rPr>
          <w:rFonts w:ascii="Arial" w:hAnsi="Arial"/>
          <w:b/>
          <w:bCs/>
          <w:color w:val="000000"/>
          <w:sz w:val="28"/>
          <w:szCs w:val="28"/>
          <w:u w:color="000000"/>
        </w:rPr>
        <w:tab/>
        <w:t xml:space="preserve">    10. září 2025</w:t>
      </w:r>
    </w:p>
    <w:p w14:paraId="031A3397" w14:textId="77777777" w:rsidR="002E0BB9" w:rsidRDefault="002E0BB9" w:rsidP="6DBDEB76">
      <w:pPr>
        <w:rPr>
          <w:rFonts w:ascii="Arial" w:eastAsia="Arial" w:hAnsi="Arial" w:cs="Arial"/>
          <w:b/>
          <w:bCs/>
          <w:sz w:val="28"/>
          <w:szCs w:val="28"/>
        </w:rPr>
      </w:pPr>
    </w:p>
    <w:p w14:paraId="0EF646F3" w14:textId="1F39DBA2" w:rsidR="6C09078D" w:rsidRPr="00BC1F8A" w:rsidRDefault="6C09078D" w:rsidP="6DBDEB76">
      <w:pPr>
        <w:rPr>
          <w:rFonts w:ascii="Arial" w:eastAsia="Arial" w:hAnsi="Arial" w:cs="Arial"/>
          <w:b/>
          <w:bCs/>
          <w:sz w:val="28"/>
          <w:szCs w:val="28"/>
        </w:rPr>
      </w:pPr>
      <w:r w:rsidRPr="00BC1F8A">
        <w:rPr>
          <w:rFonts w:ascii="Arial" w:eastAsia="Arial" w:hAnsi="Arial" w:cs="Arial"/>
          <w:b/>
          <w:bCs/>
          <w:sz w:val="28"/>
          <w:szCs w:val="28"/>
        </w:rPr>
        <w:t>Urbanity zveřej</w:t>
      </w:r>
      <w:r w:rsidR="006F29DD">
        <w:rPr>
          <w:rFonts w:ascii="Arial" w:eastAsia="Arial" w:hAnsi="Arial" w:cs="Arial"/>
          <w:b/>
          <w:bCs/>
          <w:sz w:val="28"/>
          <w:szCs w:val="28"/>
        </w:rPr>
        <w:t>nilo</w:t>
      </w:r>
      <w:r w:rsidRPr="00BC1F8A"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r w:rsidR="73682B0B" w:rsidRPr="00BC1F8A">
        <w:rPr>
          <w:rFonts w:ascii="Arial" w:eastAsia="Arial" w:hAnsi="Arial" w:cs="Arial"/>
          <w:b/>
          <w:bCs/>
          <w:sz w:val="28"/>
          <w:szCs w:val="28"/>
        </w:rPr>
        <w:t xml:space="preserve">svůj </w:t>
      </w:r>
      <w:r w:rsidR="006F29DD">
        <w:rPr>
          <w:rFonts w:ascii="Arial" w:eastAsia="Arial" w:hAnsi="Arial" w:cs="Arial"/>
          <w:b/>
          <w:bCs/>
          <w:sz w:val="28"/>
          <w:szCs w:val="28"/>
        </w:rPr>
        <w:t xml:space="preserve">další </w:t>
      </w:r>
      <w:r w:rsidRPr="00BC1F8A">
        <w:rPr>
          <w:rFonts w:ascii="Arial" w:eastAsia="Arial" w:hAnsi="Arial" w:cs="Arial"/>
          <w:b/>
          <w:bCs/>
          <w:sz w:val="28"/>
          <w:szCs w:val="28"/>
        </w:rPr>
        <w:t>ESG report</w:t>
      </w:r>
      <w:r w:rsidR="03151055" w:rsidRPr="00BC1F8A">
        <w:rPr>
          <w:rFonts w:ascii="Arial" w:eastAsia="Arial" w:hAnsi="Arial" w:cs="Arial"/>
          <w:b/>
          <w:bCs/>
          <w:sz w:val="28"/>
          <w:szCs w:val="28"/>
        </w:rPr>
        <w:t>. Ukazuje, jak se dělá</w:t>
      </w:r>
      <w:r w:rsidRPr="00BC1F8A"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r w:rsidR="2CB7603F" w:rsidRPr="00BC1F8A">
        <w:rPr>
          <w:rFonts w:ascii="Arial" w:eastAsia="Arial" w:hAnsi="Arial" w:cs="Arial"/>
          <w:b/>
          <w:bCs/>
          <w:sz w:val="28"/>
          <w:szCs w:val="28"/>
        </w:rPr>
        <w:t>p</w:t>
      </w:r>
      <w:r w:rsidRPr="00BC1F8A">
        <w:rPr>
          <w:rFonts w:ascii="Arial" w:eastAsia="Arial" w:hAnsi="Arial" w:cs="Arial"/>
          <w:b/>
          <w:bCs/>
          <w:sz w:val="28"/>
          <w:szCs w:val="28"/>
        </w:rPr>
        <w:t>růmyslový development nové generace</w:t>
      </w:r>
    </w:p>
    <w:p w14:paraId="75C669A4" w14:textId="47203DB3" w:rsidR="16CB4D01" w:rsidRPr="00BC1F8A" w:rsidRDefault="008C53A0" w:rsidP="00E34BBD">
      <w:pPr>
        <w:jc w:val="both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N</w:t>
      </w:r>
      <w:r w:rsidR="6C09078D" w:rsidRPr="00BC1F8A">
        <w:rPr>
          <w:rFonts w:ascii="Arial" w:eastAsia="Arial" w:hAnsi="Arial" w:cs="Arial"/>
          <w:b/>
          <w:bCs/>
          <w:sz w:val="22"/>
          <w:szCs w:val="22"/>
        </w:rPr>
        <w:t>emovitostní skupina Urbanity</w:t>
      </w:r>
      <w:r w:rsidR="4F517A9F" w:rsidRPr="00BC1F8A">
        <w:rPr>
          <w:rFonts w:ascii="Arial" w:eastAsia="Arial" w:hAnsi="Arial" w:cs="Arial"/>
          <w:b/>
          <w:bCs/>
          <w:sz w:val="22"/>
          <w:szCs w:val="22"/>
        </w:rPr>
        <w:t xml:space="preserve"> zaměřená na průmyslový development</w:t>
      </w:r>
      <w:r w:rsidR="006F29DD">
        <w:rPr>
          <w:rFonts w:ascii="Arial" w:eastAsia="Arial" w:hAnsi="Arial" w:cs="Arial"/>
          <w:b/>
          <w:bCs/>
          <w:sz w:val="22"/>
          <w:szCs w:val="22"/>
        </w:rPr>
        <w:t xml:space="preserve"> vydala </w:t>
      </w:r>
      <w:hyperlink r:id="rId7" w:history="1">
        <w:r w:rsidR="006F29DD" w:rsidRPr="00E93C08">
          <w:rPr>
            <w:rStyle w:val="Hypertextovodkaz"/>
            <w:rFonts w:ascii="Arial" w:eastAsia="Arial" w:hAnsi="Arial" w:cs="Arial"/>
            <w:b/>
            <w:bCs/>
            <w:sz w:val="22"/>
            <w:szCs w:val="22"/>
          </w:rPr>
          <w:t>s</w:t>
        </w:r>
        <w:r w:rsidR="006F29DD" w:rsidRPr="00E93C08">
          <w:rPr>
            <w:rStyle w:val="Hypertextovodkaz"/>
            <w:rFonts w:ascii="Arial" w:eastAsia="Arial" w:hAnsi="Arial" w:cs="Arial"/>
            <w:b/>
            <w:bCs/>
            <w:sz w:val="22"/>
            <w:szCs w:val="22"/>
          </w:rPr>
          <w:t>v</w:t>
        </w:r>
        <w:r w:rsidR="006F29DD" w:rsidRPr="00E93C08">
          <w:rPr>
            <w:rStyle w:val="Hypertextovodkaz"/>
            <w:rFonts w:ascii="Arial" w:eastAsia="Arial" w:hAnsi="Arial" w:cs="Arial"/>
            <w:b/>
            <w:bCs/>
            <w:sz w:val="22"/>
            <w:szCs w:val="22"/>
          </w:rPr>
          <w:t>ůj výroční ESG report</w:t>
        </w:r>
      </w:hyperlink>
      <w:r w:rsidR="54486674" w:rsidRPr="00BC1F8A">
        <w:rPr>
          <w:rFonts w:ascii="Arial" w:eastAsia="Arial" w:hAnsi="Arial" w:cs="Arial"/>
          <w:b/>
          <w:bCs/>
          <w:sz w:val="22"/>
          <w:szCs w:val="22"/>
        </w:rPr>
        <w:t>. S</w:t>
      </w:r>
      <w:r w:rsidR="6C09078D" w:rsidRPr="00BC1F8A">
        <w:rPr>
          <w:rFonts w:ascii="Arial" w:eastAsia="Arial" w:hAnsi="Arial" w:cs="Arial"/>
          <w:b/>
          <w:bCs/>
          <w:sz w:val="22"/>
          <w:szCs w:val="22"/>
        </w:rPr>
        <w:t xml:space="preserve">hrnuje </w:t>
      </w:r>
      <w:r w:rsidR="4E6CC3B3" w:rsidRPr="00BC1F8A">
        <w:rPr>
          <w:rFonts w:ascii="Arial" w:eastAsia="Arial" w:hAnsi="Arial" w:cs="Arial"/>
          <w:b/>
          <w:bCs/>
          <w:sz w:val="22"/>
          <w:szCs w:val="22"/>
        </w:rPr>
        <w:t xml:space="preserve">v něm </w:t>
      </w:r>
      <w:r w:rsidR="1120EE8A" w:rsidRPr="00BC1F8A">
        <w:rPr>
          <w:rFonts w:ascii="Arial" w:eastAsia="Arial" w:hAnsi="Arial" w:cs="Arial"/>
          <w:b/>
          <w:bCs/>
          <w:sz w:val="22"/>
          <w:szCs w:val="22"/>
        </w:rPr>
        <w:t xml:space="preserve">své </w:t>
      </w:r>
      <w:r w:rsidR="6C09078D" w:rsidRPr="00BC1F8A">
        <w:rPr>
          <w:rFonts w:ascii="Arial" w:eastAsia="Arial" w:hAnsi="Arial" w:cs="Arial"/>
          <w:b/>
          <w:bCs/>
          <w:sz w:val="22"/>
          <w:szCs w:val="22"/>
        </w:rPr>
        <w:t xml:space="preserve">výsledky a pokrok v oblasti </w:t>
      </w:r>
      <w:r w:rsidR="2CD1EC5D" w:rsidRPr="00BC1F8A">
        <w:rPr>
          <w:rFonts w:ascii="Arial" w:eastAsia="Arial" w:hAnsi="Arial" w:cs="Arial"/>
          <w:b/>
          <w:bCs/>
          <w:sz w:val="22"/>
          <w:szCs w:val="22"/>
        </w:rPr>
        <w:t xml:space="preserve">environmentální a </w:t>
      </w:r>
      <w:r w:rsidR="641DE041" w:rsidRPr="00BC1F8A">
        <w:rPr>
          <w:rFonts w:ascii="Arial" w:eastAsia="Arial" w:hAnsi="Arial" w:cs="Arial"/>
          <w:b/>
          <w:bCs/>
          <w:sz w:val="22"/>
          <w:szCs w:val="22"/>
        </w:rPr>
        <w:t>společenské</w:t>
      </w:r>
      <w:r w:rsidR="6C09078D" w:rsidRPr="00BC1F8A">
        <w:rPr>
          <w:rFonts w:ascii="Arial" w:eastAsia="Arial" w:hAnsi="Arial" w:cs="Arial"/>
          <w:b/>
          <w:bCs/>
          <w:sz w:val="22"/>
          <w:szCs w:val="22"/>
        </w:rPr>
        <w:t xml:space="preserve"> odpovědnosti za </w:t>
      </w:r>
      <w:r w:rsidR="654C079E" w:rsidRPr="00BC1F8A">
        <w:rPr>
          <w:rFonts w:ascii="Arial" w:eastAsia="Arial" w:hAnsi="Arial" w:cs="Arial"/>
          <w:b/>
          <w:bCs/>
          <w:sz w:val="22"/>
          <w:szCs w:val="22"/>
        </w:rPr>
        <w:t>uplynulý rok</w:t>
      </w:r>
      <w:r w:rsidR="6C09078D" w:rsidRPr="00BC1F8A">
        <w:rPr>
          <w:rFonts w:ascii="Arial" w:eastAsia="Arial" w:hAnsi="Arial" w:cs="Arial"/>
          <w:b/>
          <w:bCs/>
          <w:sz w:val="22"/>
          <w:szCs w:val="22"/>
        </w:rPr>
        <w:t xml:space="preserve">. </w:t>
      </w:r>
      <w:r w:rsidR="56B63D36" w:rsidRPr="00BC1F8A">
        <w:rPr>
          <w:rFonts w:ascii="Arial" w:eastAsia="Arial" w:hAnsi="Arial" w:cs="Arial"/>
          <w:b/>
          <w:bCs/>
          <w:sz w:val="22"/>
          <w:szCs w:val="22"/>
        </w:rPr>
        <w:t>D</w:t>
      </w:r>
      <w:r w:rsidR="6C09078D" w:rsidRPr="00BC1F8A">
        <w:rPr>
          <w:rFonts w:ascii="Arial" w:eastAsia="Arial" w:hAnsi="Arial" w:cs="Arial"/>
          <w:b/>
          <w:bCs/>
          <w:sz w:val="22"/>
          <w:szCs w:val="22"/>
        </w:rPr>
        <w:t xml:space="preserve">ata ukazují, jak </w:t>
      </w:r>
      <w:r w:rsidR="533CB9F3" w:rsidRPr="00BC1F8A">
        <w:rPr>
          <w:rFonts w:ascii="Arial" w:eastAsia="Arial" w:hAnsi="Arial" w:cs="Arial"/>
          <w:b/>
          <w:bCs/>
          <w:sz w:val="22"/>
          <w:szCs w:val="22"/>
        </w:rPr>
        <w:t>je možné</w:t>
      </w:r>
      <w:r w:rsidR="6C09078D" w:rsidRPr="00BC1F8A">
        <w:rPr>
          <w:rFonts w:ascii="Arial" w:eastAsia="Arial" w:hAnsi="Arial" w:cs="Arial"/>
          <w:b/>
          <w:bCs/>
          <w:sz w:val="22"/>
          <w:szCs w:val="22"/>
        </w:rPr>
        <w:t xml:space="preserve"> ESG principy integrovat do</w:t>
      </w:r>
      <w:r w:rsidR="4AFC9547" w:rsidRPr="00BC1F8A">
        <w:rPr>
          <w:rFonts w:ascii="Arial" w:eastAsia="Arial" w:hAnsi="Arial" w:cs="Arial"/>
          <w:b/>
          <w:bCs/>
          <w:sz w:val="22"/>
          <w:szCs w:val="22"/>
        </w:rPr>
        <w:t xml:space="preserve"> výstavby </w:t>
      </w:r>
      <w:r w:rsidR="6C09078D" w:rsidRPr="00BC1F8A">
        <w:rPr>
          <w:rFonts w:ascii="Arial" w:eastAsia="Arial" w:hAnsi="Arial" w:cs="Arial"/>
          <w:b/>
          <w:bCs/>
          <w:sz w:val="22"/>
          <w:szCs w:val="22"/>
        </w:rPr>
        <w:t>průmyslov</w:t>
      </w:r>
      <w:r w:rsidR="00352936" w:rsidRPr="00BC1F8A">
        <w:rPr>
          <w:rFonts w:ascii="Arial" w:eastAsia="Arial" w:hAnsi="Arial" w:cs="Arial"/>
          <w:b/>
          <w:bCs/>
          <w:sz w:val="22"/>
          <w:szCs w:val="22"/>
        </w:rPr>
        <w:t xml:space="preserve">ých </w:t>
      </w:r>
      <w:r w:rsidR="00E34BBD" w:rsidRPr="00BC1F8A">
        <w:rPr>
          <w:rFonts w:ascii="Arial" w:eastAsia="Arial" w:hAnsi="Arial" w:cs="Arial"/>
          <w:b/>
          <w:bCs/>
          <w:sz w:val="22"/>
          <w:szCs w:val="22"/>
        </w:rPr>
        <w:t>kampusů,</w:t>
      </w:r>
      <w:r w:rsidR="00352936" w:rsidRPr="00BC1F8A">
        <w:rPr>
          <w:rFonts w:ascii="Arial" w:eastAsia="Arial" w:hAnsi="Arial" w:cs="Arial"/>
          <w:b/>
          <w:bCs/>
          <w:sz w:val="22"/>
          <w:szCs w:val="22"/>
        </w:rPr>
        <w:t xml:space="preserve"> tak</w:t>
      </w:r>
      <w:r w:rsidR="00E34BBD">
        <w:rPr>
          <w:rFonts w:ascii="Arial" w:eastAsia="Arial" w:hAnsi="Arial" w:cs="Arial"/>
          <w:b/>
          <w:bCs/>
          <w:sz w:val="22"/>
          <w:szCs w:val="22"/>
        </w:rPr>
        <w:t>,</w:t>
      </w:r>
      <w:r w:rsidR="00352936" w:rsidRPr="00BC1F8A">
        <w:rPr>
          <w:rFonts w:ascii="Arial" w:eastAsia="Arial" w:hAnsi="Arial" w:cs="Arial"/>
          <w:b/>
          <w:bCs/>
          <w:sz w:val="22"/>
          <w:szCs w:val="22"/>
        </w:rPr>
        <w:t xml:space="preserve"> aby byly</w:t>
      </w:r>
      <w:r w:rsidR="4CD838CE" w:rsidRPr="00BC1F8A">
        <w:rPr>
          <w:rFonts w:ascii="Arial" w:eastAsia="Arial" w:hAnsi="Arial" w:cs="Arial"/>
          <w:b/>
          <w:bCs/>
          <w:sz w:val="22"/>
          <w:szCs w:val="22"/>
        </w:rPr>
        <w:t xml:space="preserve"> udržitelné, ale také</w:t>
      </w:r>
      <w:r w:rsidR="1C612D42" w:rsidRPr="00BC1F8A">
        <w:rPr>
          <w:rFonts w:ascii="Arial" w:eastAsia="Arial" w:hAnsi="Arial" w:cs="Arial"/>
          <w:b/>
          <w:bCs/>
          <w:sz w:val="22"/>
          <w:szCs w:val="22"/>
        </w:rPr>
        <w:t xml:space="preserve"> v praxi</w:t>
      </w:r>
      <w:r w:rsidR="4CD838CE" w:rsidRPr="00BC1F8A">
        <w:rPr>
          <w:rFonts w:ascii="Arial" w:eastAsia="Arial" w:hAnsi="Arial" w:cs="Arial"/>
          <w:b/>
          <w:bCs/>
          <w:sz w:val="22"/>
          <w:szCs w:val="22"/>
        </w:rPr>
        <w:t xml:space="preserve"> efektivní pro své uživatele.</w:t>
      </w:r>
    </w:p>
    <w:p w14:paraId="045EBE9E" w14:textId="3E5C1E53" w:rsidR="4CD838CE" w:rsidRDefault="4CD838CE" w:rsidP="00E34BBD">
      <w:pPr>
        <w:jc w:val="both"/>
        <w:rPr>
          <w:rFonts w:ascii="Arial" w:eastAsia="Arial" w:hAnsi="Arial" w:cs="Arial"/>
          <w:sz w:val="22"/>
          <w:szCs w:val="22"/>
        </w:rPr>
      </w:pPr>
      <w:r w:rsidRPr="6DBDEB76">
        <w:rPr>
          <w:rFonts w:ascii="Arial" w:eastAsia="Arial" w:hAnsi="Arial" w:cs="Arial"/>
          <w:i/>
          <w:iCs/>
          <w:sz w:val="22"/>
          <w:szCs w:val="22"/>
        </w:rPr>
        <w:t xml:space="preserve">„Naše kampusy pro výrobní a logistické firmy </w:t>
      </w:r>
      <w:r w:rsidR="4702B396" w:rsidRPr="6DBDEB76">
        <w:rPr>
          <w:rFonts w:ascii="Arial" w:eastAsia="Arial" w:hAnsi="Arial" w:cs="Arial"/>
          <w:i/>
          <w:iCs/>
          <w:sz w:val="22"/>
          <w:szCs w:val="22"/>
        </w:rPr>
        <w:t>navrhujeme tak, aby v centru je</w:t>
      </w:r>
      <w:r w:rsidR="61E9C7A2" w:rsidRPr="6DBDEB76">
        <w:rPr>
          <w:rFonts w:ascii="Arial" w:eastAsia="Arial" w:hAnsi="Arial" w:cs="Arial"/>
          <w:i/>
          <w:iCs/>
          <w:sz w:val="22"/>
          <w:szCs w:val="22"/>
        </w:rPr>
        <w:t xml:space="preserve">jich </w:t>
      </w:r>
      <w:r w:rsidR="4702B396" w:rsidRPr="6DBDEB76">
        <w:rPr>
          <w:rFonts w:ascii="Arial" w:eastAsia="Arial" w:hAnsi="Arial" w:cs="Arial"/>
          <w:i/>
          <w:iCs/>
          <w:sz w:val="22"/>
          <w:szCs w:val="22"/>
        </w:rPr>
        <w:t xml:space="preserve">fungování byli lidé </w:t>
      </w:r>
      <w:r w:rsidR="00E34BBD" w:rsidRPr="6DBDEB76">
        <w:rPr>
          <w:rFonts w:ascii="Arial" w:eastAsia="Arial" w:hAnsi="Arial" w:cs="Arial"/>
          <w:i/>
          <w:iCs/>
          <w:sz w:val="22"/>
          <w:szCs w:val="22"/>
        </w:rPr>
        <w:t>–</w:t>
      </w:r>
      <w:r w:rsidR="4702B396" w:rsidRPr="6DBDEB76">
        <w:rPr>
          <w:rFonts w:ascii="Arial" w:eastAsia="Arial" w:hAnsi="Arial" w:cs="Arial"/>
          <w:i/>
          <w:iCs/>
          <w:sz w:val="22"/>
          <w:szCs w:val="22"/>
        </w:rPr>
        <w:t xml:space="preserve"> </w:t>
      </w:r>
      <w:r w:rsidR="0077EE05" w:rsidRPr="6DBDEB76">
        <w:rPr>
          <w:rFonts w:ascii="Arial" w:eastAsia="Arial" w:hAnsi="Arial" w:cs="Arial"/>
          <w:i/>
          <w:iCs/>
          <w:sz w:val="22"/>
          <w:szCs w:val="22"/>
        </w:rPr>
        <w:t xml:space="preserve">naši </w:t>
      </w:r>
      <w:r w:rsidR="4702B396" w:rsidRPr="6DBDEB76">
        <w:rPr>
          <w:rFonts w:ascii="Arial" w:eastAsia="Arial" w:hAnsi="Arial" w:cs="Arial"/>
          <w:i/>
          <w:iCs/>
          <w:sz w:val="22"/>
          <w:szCs w:val="22"/>
        </w:rPr>
        <w:t xml:space="preserve">nájemci, </w:t>
      </w:r>
      <w:r w:rsidR="770DF158" w:rsidRPr="6DBDEB76">
        <w:rPr>
          <w:rFonts w:ascii="Arial" w:eastAsia="Arial" w:hAnsi="Arial" w:cs="Arial"/>
          <w:i/>
          <w:iCs/>
          <w:sz w:val="22"/>
          <w:szCs w:val="22"/>
        </w:rPr>
        <w:t>jejich zaměstnanci i místní komunity</w:t>
      </w:r>
      <w:r w:rsidR="200BE508" w:rsidRPr="6DBDEB76">
        <w:rPr>
          <w:rFonts w:ascii="Arial" w:eastAsia="Arial" w:hAnsi="Arial" w:cs="Arial"/>
          <w:i/>
          <w:iCs/>
          <w:sz w:val="22"/>
          <w:szCs w:val="22"/>
        </w:rPr>
        <w:t>, kteř</w:t>
      </w:r>
      <w:r w:rsidR="53E4A887" w:rsidRPr="6DBDEB76">
        <w:rPr>
          <w:rFonts w:ascii="Arial" w:eastAsia="Arial" w:hAnsi="Arial" w:cs="Arial"/>
          <w:i/>
          <w:iCs/>
          <w:sz w:val="22"/>
          <w:szCs w:val="22"/>
        </w:rPr>
        <w:t>í</w:t>
      </w:r>
      <w:r w:rsidR="200BE508" w:rsidRPr="6DBDEB76">
        <w:rPr>
          <w:rFonts w:ascii="Arial" w:eastAsia="Arial" w:hAnsi="Arial" w:cs="Arial"/>
          <w:i/>
          <w:iCs/>
          <w:sz w:val="22"/>
          <w:szCs w:val="22"/>
        </w:rPr>
        <w:t xml:space="preserve"> v </w:t>
      </w:r>
      <w:r w:rsidR="04869DD0" w:rsidRPr="6DBDEB76">
        <w:rPr>
          <w:rFonts w:ascii="Arial" w:eastAsia="Arial" w:hAnsi="Arial" w:cs="Arial"/>
          <w:i/>
          <w:iCs/>
          <w:sz w:val="22"/>
          <w:szCs w:val="22"/>
        </w:rPr>
        <w:t>těchto</w:t>
      </w:r>
      <w:r w:rsidR="4702B396" w:rsidRPr="6DBDEB76">
        <w:rPr>
          <w:rFonts w:ascii="Arial" w:eastAsia="Arial" w:hAnsi="Arial" w:cs="Arial"/>
          <w:i/>
          <w:iCs/>
          <w:sz w:val="22"/>
          <w:szCs w:val="22"/>
        </w:rPr>
        <w:t xml:space="preserve"> areálech </w:t>
      </w:r>
      <w:r w:rsidR="703F7869" w:rsidRPr="6DBDEB76">
        <w:rPr>
          <w:rFonts w:ascii="Arial" w:eastAsia="Arial" w:hAnsi="Arial" w:cs="Arial"/>
          <w:i/>
          <w:iCs/>
          <w:sz w:val="22"/>
          <w:szCs w:val="22"/>
        </w:rPr>
        <w:t xml:space="preserve">denně </w:t>
      </w:r>
      <w:r w:rsidR="4702B396" w:rsidRPr="6DBDEB76">
        <w:rPr>
          <w:rFonts w:ascii="Arial" w:eastAsia="Arial" w:hAnsi="Arial" w:cs="Arial"/>
          <w:i/>
          <w:iCs/>
          <w:sz w:val="22"/>
          <w:szCs w:val="22"/>
        </w:rPr>
        <w:t xml:space="preserve">tráví </w:t>
      </w:r>
      <w:r w:rsidR="7F7E4EDF" w:rsidRPr="6DBDEB76">
        <w:rPr>
          <w:rFonts w:ascii="Arial" w:eastAsia="Arial" w:hAnsi="Arial" w:cs="Arial"/>
          <w:i/>
          <w:iCs/>
          <w:sz w:val="22"/>
          <w:szCs w:val="22"/>
        </w:rPr>
        <w:t xml:space="preserve">nejvíc </w:t>
      </w:r>
      <w:r w:rsidR="4702B396" w:rsidRPr="6DBDEB76">
        <w:rPr>
          <w:rFonts w:ascii="Arial" w:eastAsia="Arial" w:hAnsi="Arial" w:cs="Arial"/>
          <w:i/>
          <w:iCs/>
          <w:sz w:val="22"/>
          <w:szCs w:val="22"/>
        </w:rPr>
        <w:t>čas</w:t>
      </w:r>
      <w:r w:rsidR="34E46707" w:rsidRPr="6DBDEB76">
        <w:rPr>
          <w:rFonts w:ascii="Arial" w:eastAsia="Arial" w:hAnsi="Arial" w:cs="Arial"/>
          <w:i/>
          <w:iCs/>
          <w:sz w:val="22"/>
          <w:szCs w:val="22"/>
        </w:rPr>
        <w:t>u</w:t>
      </w:r>
      <w:r w:rsidR="4702B396" w:rsidRPr="6DBDEB76">
        <w:rPr>
          <w:rFonts w:ascii="Arial" w:eastAsia="Arial" w:hAnsi="Arial" w:cs="Arial"/>
          <w:i/>
          <w:iCs/>
          <w:sz w:val="22"/>
          <w:szCs w:val="22"/>
        </w:rPr>
        <w:t>. To je velký posun ve vnímání, jak má průmyslový development fungovat.</w:t>
      </w:r>
      <w:r w:rsidR="38DF86E7" w:rsidRPr="6DBDEB76">
        <w:rPr>
          <w:rFonts w:ascii="Arial" w:eastAsia="Arial" w:hAnsi="Arial" w:cs="Arial"/>
          <w:i/>
          <w:iCs/>
          <w:sz w:val="22"/>
          <w:szCs w:val="22"/>
        </w:rPr>
        <w:t xml:space="preserve"> </w:t>
      </w:r>
      <w:r w:rsidRPr="6DBDEB76">
        <w:rPr>
          <w:rFonts w:ascii="Arial" w:eastAsia="Arial" w:hAnsi="Arial" w:cs="Arial"/>
          <w:i/>
          <w:iCs/>
          <w:sz w:val="22"/>
          <w:szCs w:val="22"/>
        </w:rPr>
        <w:t xml:space="preserve">ESG reporting pro nás proto není formalita – je to způsob, jak </w:t>
      </w:r>
      <w:r w:rsidR="2E414B29" w:rsidRPr="6DBDEB76">
        <w:rPr>
          <w:rFonts w:ascii="Arial" w:eastAsia="Arial" w:hAnsi="Arial" w:cs="Arial"/>
          <w:i/>
          <w:iCs/>
          <w:sz w:val="22"/>
          <w:szCs w:val="22"/>
        </w:rPr>
        <w:t>měřit, jaký mají naše projekty dopad na své okolí.</w:t>
      </w:r>
      <w:r w:rsidR="5D95B0CE" w:rsidRPr="6DBDEB76">
        <w:rPr>
          <w:rFonts w:ascii="Arial" w:eastAsia="Arial" w:hAnsi="Arial" w:cs="Arial"/>
          <w:i/>
          <w:iCs/>
          <w:sz w:val="22"/>
          <w:szCs w:val="22"/>
        </w:rPr>
        <w:t xml:space="preserve"> </w:t>
      </w:r>
      <w:r w:rsidR="2E414B29" w:rsidRPr="6DBDEB76">
        <w:rPr>
          <w:rFonts w:ascii="Arial" w:eastAsia="Arial" w:hAnsi="Arial" w:cs="Arial"/>
          <w:i/>
          <w:iCs/>
          <w:sz w:val="22"/>
          <w:szCs w:val="22"/>
        </w:rPr>
        <w:t>A</w:t>
      </w:r>
      <w:r w:rsidR="352CC850" w:rsidRPr="6DBDEB76">
        <w:rPr>
          <w:rFonts w:ascii="Arial" w:eastAsia="Arial" w:hAnsi="Arial" w:cs="Arial"/>
          <w:i/>
          <w:iCs/>
          <w:sz w:val="22"/>
          <w:szCs w:val="22"/>
        </w:rPr>
        <w:t xml:space="preserve"> také </w:t>
      </w:r>
      <w:r w:rsidR="05092FD6" w:rsidRPr="6DBDEB76">
        <w:rPr>
          <w:rFonts w:ascii="Arial" w:eastAsia="Arial" w:hAnsi="Arial" w:cs="Arial"/>
          <w:i/>
          <w:iCs/>
          <w:sz w:val="22"/>
          <w:szCs w:val="22"/>
        </w:rPr>
        <w:t xml:space="preserve">je to </w:t>
      </w:r>
      <w:r w:rsidR="352CC850" w:rsidRPr="6DBDEB76">
        <w:rPr>
          <w:rFonts w:ascii="Arial" w:eastAsia="Arial" w:hAnsi="Arial" w:cs="Arial"/>
          <w:i/>
          <w:iCs/>
          <w:sz w:val="22"/>
          <w:szCs w:val="22"/>
        </w:rPr>
        <w:t>cesta, jak transparentně ukázat</w:t>
      </w:r>
      <w:r w:rsidR="01CDBCFE" w:rsidRPr="6DBDEB76">
        <w:rPr>
          <w:rFonts w:ascii="Arial" w:eastAsia="Arial" w:hAnsi="Arial" w:cs="Arial"/>
          <w:i/>
          <w:iCs/>
          <w:sz w:val="22"/>
          <w:szCs w:val="22"/>
        </w:rPr>
        <w:t>, kde se chceme dál zlepšovat</w:t>
      </w:r>
      <w:r w:rsidR="4C59424C" w:rsidRPr="6DBDEB76">
        <w:rPr>
          <w:rFonts w:ascii="Arial" w:eastAsia="Arial" w:hAnsi="Arial" w:cs="Arial"/>
          <w:i/>
          <w:iCs/>
          <w:sz w:val="22"/>
          <w:szCs w:val="22"/>
        </w:rPr>
        <w:t>,</w:t>
      </w:r>
      <w:r w:rsidRPr="6DBDEB76">
        <w:rPr>
          <w:rFonts w:ascii="Arial" w:eastAsia="Arial" w:hAnsi="Arial" w:cs="Arial"/>
          <w:i/>
          <w:iCs/>
          <w:sz w:val="22"/>
          <w:szCs w:val="22"/>
        </w:rPr>
        <w:t>“</w:t>
      </w:r>
      <w:r w:rsidRPr="6DBDEB76">
        <w:rPr>
          <w:rFonts w:ascii="Arial" w:eastAsia="Arial" w:hAnsi="Arial" w:cs="Arial"/>
          <w:sz w:val="22"/>
          <w:szCs w:val="22"/>
        </w:rPr>
        <w:t xml:space="preserve"> </w:t>
      </w:r>
      <w:r w:rsidR="76933D6F" w:rsidRPr="6DBDEB76">
        <w:rPr>
          <w:rFonts w:ascii="Arial" w:eastAsia="Arial" w:hAnsi="Arial" w:cs="Arial"/>
          <w:sz w:val="22"/>
          <w:szCs w:val="22"/>
        </w:rPr>
        <w:t>říká</w:t>
      </w:r>
      <w:r w:rsidRPr="6DBDEB76">
        <w:rPr>
          <w:rFonts w:ascii="Arial" w:eastAsia="Arial" w:hAnsi="Arial" w:cs="Arial"/>
          <w:sz w:val="22"/>
          <w:szCs w:val="22"/>
        </w:rPr>
        <w:t xml:space="preserve"> </w:t>
      </w:r>
      <w:r w:rsidRPr="6DBDEB76">
        <w:rPr>
          <w:rFonts w:ascii="Arial" w:eastAsia="Arial" w:hAnsi="Arial" w:cs="Arial"/>
          <w:b/>
          <w:bCs/>
          <w:sz w:val="22"/>
          <w:szCs w:val="22"/>
        </w:rPr>
        <w:t xml:space="preserve">Roland Hofman, </w:t>
      </w:r>
      <w:r w:rsidR="008C53A0">
        <w:rPr>
          <w:rFonts w:ascii="Arial" w:eastAsia="Arial" w:hAnsi="Arial" w:cs="Arial"/>
          <w:b/>
          <w:bCs/>
          <w:sz w:val="22"/>
          <w:szCs w:val="22"/>
        </w:rPr>
        <w:t>spolu</w:t>
      </w:r>
      <w:r w:rsidRPr="6DBDEB76">
        <w:rPr>
          <w:rFonts w:ascii="Arial" w:eastAsia="Arial" w:hAnsi="Arial" w:cs="Arial"/>
          <w:b/>
          <w:bCs/>
          <w:sz w:val="22"/>
          <w:szCs w:val="22"/>
        </w:rPr>
        <w:t>zakladatel a C</w:t>
      </w:r>
      <w:r w:rsidR="00C1E62B" w:rsidRPr="6DBDEB76">
        <w:rPr>
          <w:rFonts w:ascii="Arial" w:eastAsia="Arial" w:hAnsi="Arial" w:cs="Arial"/>
          <w:b/>
          <w:bCs/>
          <w:sz w:val="22"/>
          <w:szCs w:val="22"/>
        </w:rPr>
        <w:t>EO Urbanity</w:t>
      </w:r>
      <w:r w:rsidR="00C1E62B" w:rsidRPr="6DBDEB76">
        <w:rPr>
          <w:rFonts w:ascii="Arial" w:eastAsia="Arial" w:hAnsi="Arial" w:cs="Arial"/>
          <w:sz w:val="22"/>
          <w:szCs w:val="22"/>
        </w:rPr>
        <w:t>.</w:t>
      </w:r>
    </w:p>
    <w:p w14:paraId="2A2C7F68" w14:textId="60BB2A70" w:rsidR="4700E7F7" w:rsidRDefault="4700E7F7" w:rsidP="00E34BBD">
      <w:pPr>
        <w:jc w:val="both"/>
        <w:rPr>
          <w:rFonts w:ascii="Arial" w:eastAsia="Arial" w:hAnsi="Arial" w:cs="Arial"/>
          <w:sz w:val="22"/>
          <w:szCs w:val="22"/>
        </w:rPr>
      </w:pPr>
      <w:r w:rsidRPr="6DBDEB76">
        <w:rPr>
          <w:rFonts w:ascii="Arial" w:eastAsia="Arial" w:hAnsi="Arial" w:cs="Arial"/>
          <w:sz w:val="22"/>
          <w:szCs w:val="22"/>
        </w:rPr>
        <w:t>Vlajkovým projekt</w:t>
      </w:r>
      <w:r w:rsidR="565396E2" w:rsidRPr="6DBDEB76">
        <w:rPr>
          <w:rFonts w:ascii="Arial" w:eastAsia="Arial" w:hAnsi="Arial" w:cs="Arial"/>
          <w:sz w:val="22"/>
          <w:szCs w:val="22"/>
        </w:rPr>
        <w:t>em</w:t>
      </w:r>
      <w:r w:rsidRPr="6DBDEB76">
        <w:rPr>
          <w:rFonts w:ascii="Arial" w:eastAsia="Arial" w:hAnsi="Arial" w:cs="Arial"/>
          <w:sz w:val="22"/>
          <w:szCs w:val="22"/>
        </w:rPr>
        <w:t xml:space="preserve"> Urbanity je průmyslový kampus v Tachově, který získal prestižní certifikaci BREEAM </w:t>
      </w:r>
      <w:proofErr w:type="spellStart"/>
      <w:r w:rsidRPr="6DBDEB76">
        <w:rPr>
          <w:rFonts w:ascii="Arial" w:eastAsia="Arial" w:hAnsi="Arial" w:cs="Arial"/>
          <w:sz w:val="22"/>
          <w:szCs w:val="22"/>
        </w:rPr>
        <w:t>Communities</w:t>
      </w:r>
      <w:proofErr w:type="spellEnd"/>
      <w:r w:rsidRPr="6DBDEB76">
        <w:rPr>
          <w:rFonts w:ascii="Arial" w:eastAsia="Arial" w:hAnsi="Arial" w:cs="Arial"/>
          <w:sz w:val="22"/>
          <w:szCs w:val="22"/>
        </w:rPr>
        <w:t xml:space="preserve"> a řadu ocenění včetně </w:t>
      </w:r>
      <w:proofErr w:type="spellStart"/>
      <w:r w:rsidRPr="6DBDEB76">
        <w:rPr>
          <w:rFonts w:ascii="Arial" w:eastAsia="Arial" w:hAnsi="Arial" w:cs="Arial"/>
          <w:sz w:val="22"/>
          <w:szCs w:val="22"/>
        </w:rPr>
        <w:t>Sustainability</w:t>
      </w:r>
      <w:proofErr w:type="spellEnd"/>
      <w:r w:rsidRPr="6DBDEB76">
        <w:rPr>
          <w:rFonts w:ascii="Arial" w:eastAsia="Arial" w:hAnsi="Arial" w:cs="Arial"/>
          <w:sz w:val="22"/>
          <w:szCs w:val="22"/>
        </w:rPr>
        <w:t xml:space="preserve"> Star 2024 na Czech &amp; </w:t>
      </w:r>
      <w:proofErr w:type="spellStart"/>
      <w:r w:rsidRPr="6DBDEB76">
        <w:rPr>
          <w:rFonts w:ascii="Arial" w:eastAsia="Arial" w:hAnsi="Arial" w:cs="Arial"/>
          <w:sz w:val="22"/>
          <w:szCs w:val="22"/>
        </w:rPr>
        <w:t>Slovak</w:t>
      </w:r>
      <w:proofErr w:type="spellEnd"/>
      <w:r w:rsidRPr="6DBDEB76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6DBDEB76">
        <w:rPr>
          <w:rFonts w:ascii="Arial" w:eastAsia="Arial" w:hAnsi="Arial" w:cs="Arial"/>
          <w:sz w:val="22"/>
          <w:szCs w:val="22"/>
        </w:rPr>
        <w:t>Sustainability</w:t>
      </w:r>
      <w:proofErr w:type="spellEnd"/>
      <w:r w:rsidRPr="6DBDEB76">
        <w:rPr>
          <w:rFonts w:ascii="Arial" w:eastAsia="Arial" w:hAnsi="Arial" w:cs="Arial"/>
          <w:sz w:val="22"/>
          <w:szCs w:val="22"/>
        </w:rPr>
        <w:t xml:space="preserve"> Summitu. V </w:t>
      </w:r>
      <w:r w:rsidR="11FF08B0" w:rsidRPr="6DBDEB76">
        <w:rPr>
          <w:rFonts w:ascii="Arial" w:eastAsia="Arial" w:hAnsi="Arial" w:cs="Arial"/>
          <w:sz w:val="22"/>
          <w:szCs w:val="22"/>
        </w:rPr>
        <w:t>minulém roce</w:t>
      </w:r>
      <w:r w:rsidRPr="6DBDEB76">
        <w:rPr>
          <w:rFonts w:ascii="Arial" w:eastAsia="Arial" w:hAnsi="Arial" w:cs="Arial"/>
          <w:sz w:val="22"/>
          <w:szCs w:val="22"/>
        </w:rPr>
        <w:t xml:space="preserve"> byla také zahájena výstavba </w:t>
      </w:r>
      <w:r w:rsidR="006F29DD">
        <w:rPr>
          <w:rFonts w:ascii="Arial" w:eastAsia="Arial" w:hAnsi="Arial" w:cs="Arial"/>
          <w:sz w:val="22"/>
          <w:szCs w:val="22"/>
        </w:rPr>
        <w:t xml:space="preserve">infrastruktury </w:t>
      </w:r>
      <w:r w:rsidRPr="6DBDEB76">
        <w:rPr>
          <w:rFonts w:ascii="Arial" w:eastAsia="Arial" w:hAnsi="Arial" w:cs="Arial"/>
          <w:sz w:val="22"/>
          <w:szCs w:val="22"/>
        </w:rPr>
        <w:t xml:space="preserve">nového kampusu v Bruntále, který má ambici navázat na úspěch tachovského areálu. V roce 2025 už projekt nabírá konkrétní obrysy a potvrzuje, že Urbanity </w:t>
      </w:r>
      <w:r w:rsidR="664C0752" w:rsidRPr="6DBDEB76">
        <w:rPr>
          <w:rFonts w:ascii="Arial" w:eastAsia="Arial" w:hAnsi="Arial" w:cs="Arial"/>
          <w:sz w:val="22"/>
          <w:szCs w:val="22"/>
        </w:rPr>
        <w:t>p</w:t>
      </w:r>
      <w:r w:rsidRPr="6DBDEB76">
        <w:rPr>
          <w:rFonts w:ascii="Arial" w:eastAsia="Arial" w:hAnsi="Arial" w:cs="Arial"/>
          <w:sz w:val="22"/>
          <w:szCs w:val="22"/>
        </w:rPr>
        <w:t>řevád</w:t>
      </w:r>
      <w:r w:rsidR="7ADF4B0E" w:rsidRPr="6DBDEB76">
        <w:rPr>
          <w:rFonts w:ascii="Arial" w:eastAsia="Arial" w:hAnsi="Arial" w:cs="Arial"/>
          <w:sz w:val="22"/>
          <w:szCs w:val="22"/>
        </w:rPr>
        <w:t>í své vize</w:t>
      </w:r>
      <w:r w:rsidRPr="6DBDEB76">
        <w:rPr>
          <w:rFonts w:ascii="Arial" w:eastAsia="Arial" w:hAnsi="Arial" w:cs="Arial"/>
          <w:sz w:val="22"/>
          <w:szCs w:val="22"/>
        </w:rPr>
        <w:t xml:space="preserve"> do praxe.</w:t>
      </w:r>
    </w:p>
    <w:p w14:paraId="4EC19F8C" w14:textId="0B761A32" w:rsidR="00D92EC5" w:rsidRPr="002E0BB9" w:rsidRDefault="00D92EC5" w:rsidP="00E34BBD">
      <w:pPr>
        <w:jc w:val="both"/>
        <w:rPr>
          <w:rFonts w:ascii="Arial" w:eastAsia="Arial" w:hAnsi="Arial" w:cs="Arial"/>
          <w:sz w:val="22"/>
          <w:szCs w:val="22"/>
        </w:rPr>
      </w:pPr>
      <w:r w:rsidRPr="002E0BB9">
        <w:rPr>
          <w:rFonts w:ascii="Arial" w:eastAsia="Arial" w:hAnsi="Arial" w:cs="Arial"/>
          <w:sz w:val="22"/>
          <w:szCs w:val="22"/>
        </w:rPr>
        <w:t>ESG report Urbanity je zpracovaný s ohledem na ESRS standardy a v</w:t>
      </w:r>
      <w:r w:rsidR="00E34BBD">
        <w:rPr>
          <w:rFonts w:ascii="Arial" w:eastAsia="Arial" w:hAnsi="Arial" w:cs="Arial"/>
          <w:sz w:val="22"/>
          <w:szCs w:val="22"/>
        </w:rPr>
        <w:t>ý</w:t>
      </w:r>
      <w:r w:rsidRPr="002E0BB9">
        <w:rPr>
          <w:rFonts w:ascii="Arial" w:eastAsia="Arial" w:hAnsi="Arial" w:cs="Arial"/>
          <w:sz w:val="22"/>
          <w:szCs w:val="22"/>
        </w:rPr>
        <w:t xml:space="preserve">počet emisí je v souladu s GHG protokolem, což je mezinárodně uznávaný systém pro měření dopadů na životní prostředí – zejména emisí skleníkových plynů. V reportu Urbanity je zahrnuto měření 100 % emisí skleníkových plynů </w:t>
      </w:r>
      <w:proofErr w:type="spellStart"/>
      <w:r w:rsidRPr="002E0BB9">
        <w:rPr>
          <w:rFonts w:ascii="Arial" w:eastAsia="Arial" w:hAnsi="Arial" w:cs="Arial"/>
          <w:sz w:val="22"/>
          <w:szCs w:val="22"/>
        </w:rPr>
        <w:t>Scope</w:t>
      </w:r>
      <w:proofErr w:type="spellEnd"/>
      <w:r w:rsidRPr="002E0BB9">
        <w:rPr>
          <w:rFonts w:ascii="Arial" w:eastAsia="Arial" w:hAnsi="Arial" w:cs="Arial"/>
          <w:sz w:val="22"/>
          <w:szCs w:val="22"/>
        </w:rPr>
        <w:t xml:space="preserve"> 1</w:t>
      </w:r>
      <w:r w:rsidR="008367DA" w:rsidRPr="002E0BB9">
        <w:rPr>
          <w:rFonts w:ascii="Arial" w:eastAsia="Arial" w:hAnsi="Arial" w:cs="Arial"/>
          <w:sz w:val="22"/>
          <w:szCs w:val="22"/>
        </w:rPr>
        <w:t xml:space="preserve"> i</w:t>
      </w:r>
      <w:r w:rsidRPr="002E0BB9">
        <w:rPr>
          <w:rFonts w:ascii="Arial" w:eastAsia="Arial" w:hAnsi="Arial" w:cs="Arial"/>
          <w:sz w:val="22"/>
          <w:szCs w:val="22"/>
        </w:rPr>
        <w:t xml:space="preserve"> 2</w:t>
      </w:r>
      <w:r w:rsidR="008367DA" w:rsidRPr="002E0BB9">
        <w:rPr>
          <w:rFonts w:ascii="Arial" w:eastAsia="Arial" w:hAnsi="Arial" w:cs="Arial"/>
          <w:sz w:val="22"/>
          <w:szCs w:val="22"/>
        </w:rPr>
        <w:t xml:space="preserve"> a nově také </w:t>
      </w:r>
      <w:proofErr w:type="spellStart"/>
      <w:r w:rsidR="008367DA" w:rsidRPr="002E0BB9">
        <w:rPr>
          <w:rFonts w:ascii="Arial" w:eastAsia="Arial" w:hAnsi="Arial" w:cs="Arial"/>
          <w:sz w:val="22"/>
          <w:szCs w:val="22"/>
        </w:rPr>
        <w:t>Scope</w:t>
      </w:r>
      <w:proofErr w:type="spellEnd"/>
      <w:r w:rsidR="008367DA" w:rsidRPr="002E0BB9">
        <w:rPr>
          <w:rFonts w:ascii="Arial" w:eastAsia="Arial" w:hAnsi="Arial" w:cs="Arial"/>
          <w:sz w:val="22"/>
          <w:szCs w:val="22"/>
        </w:rPr>
        <w:t xml:space="preserve"> </w:t>
      </w:r>
      <w:r w:rsidRPr="002E0BB9">
        <w:rPr>
          <w:rFonts w:ascii="Arial" w:eastAsia="Arial" w:hAnsi="Arial" w:cs="Arial"/>
          <w:sz w:val="22"/>
          <w:szCs w:val="22"/>
        </w:rPr>
        <w:t>3</w:t>
      </w:r>
      <w:r w:rsidR="008367DA" w:rsidRPr="002E0BB9">
        <w:rPr>
          <w:rFonts w:ascii="Arial" w:eastAsia="Arial" w:hAnsi="Arial" w:cs="Arial"/>
          <w:sz w:val="22"/>
          <w:szCs w:val="22"/>
        </w:rPr>
        <w:t>.</w:t>
      </w:r>
      <w:r w:rsidRPr="002E0BB9">
        <w:rPr>
          <w:rFonts w:ascii="Arial" w:eastAsia="Arial" w:hAnsi="Arial" w:cs="Arial"/>
          <w:sz w:val="22"/>
          <w:szCs w:val="22"/>
        </w:rPr>
        <w:t xml:space="preserve"> </w:t>
      </w:r>
      <w:r w:rsidR="008367DA" w:rsidRPr="002E0BB9">
        <w:rPr>
          <w:rFonts w:ascii="Arial" w:eastAsia="Arial" w:hAnsi="Arial" w:cs="Arial"/>
          <w:sz w:val="22"/>
          <w:szCs w:val="22"/>
        </w:rPr>
        <w:t>T</w:t>
      </w:r>
      <w:r w:rsidRPr="002E0BB9">
        <w:rPr>
          <w:rFonts w:ascii="Arial" w:eastAsia="Arial" w:hAnsi="Arial" w:cs="Arial"/>
          <w:sz w:val="22"/>
          <w:szCs w:val="22"/>
        </w:rPr>
        <w:t>edy nejen všechny přímé emise, které vznikají například při vytápění budov nebo provozu technologií, ale také nepřímé emise související se spotřebou materiálů při stavbě a provozu nemovitostí.</w:t>
      </w:r>
    </w:p>
    <w:p w14:paraId="751290F4" w14:textId="3C24EA29" w:rsidR="00D92EC5" w:rsidRPr="002E0BB9" w:rsidRDefault="00D92EC5" w:rsidP="00E34BBD">
      <w:pPr>
        <w:jc w:val="both"/>
        <w:rPr>
          <w:rFonts w:ascii="Arial" w:eastAsia="Arial" w:hAnsi="Arial" w:cs="Arial"/>
          <w:sz w:val="22"/>
          <w:szCs w:val="22"/>
        </w:rPr>
      </w:pPr>
      <w:r w:rsidRPr="002E0BB9">
        <w:rPr>
          <w:rFonts w:ascii="Arial" w:eastAsia="Arial" w:hAnsi="Arial" w:cs="Arial"/>
          <w:i/>
          <w:iCs/>
          <w:sz w:val="22"/>
          <w:szCs w:val="22"/>
        </w:rPr>
        <w:t xml:space="preserve">"Odpovědnost za své vlastní provozy bereme velmi vážně. Už </w:t>
      </w:r>
      <w:r w:rsidR="002C0BC8">
        <w:rPr>
          <w:rFonts w:ascii="Arial" w:eastAsia="Arial" w:hAnsi="Arial" w:cs="Arial"/>
          <w:i/>
          <w:iCs/>
          <w:sz w:val="22"/>
          <w:szCs w:val="22"/>
        </w:rPr>
        <w:t xml:space="preserve">v </w:t>
      </w:r>
      <w:r w:rsidRPr="002E0BB9">
        <w:rPr>
          <w:rFonts w:ascii="Arial" w:eastAsia="Arial" w:hAnsi="Arial" w:cs="Arial"/>
          <w:i/>
          <w:iCs/>
          <w:sz w:val="22"/>
          <w:szCs w:val="22"/>
        </w:rPr>
        <w:t xml:space="preserve">loňském roce jsme rozšířili sběr dat i o tzv. hodnotový řetězec – tedy o dopady, které vznikají u dodavatelů, partnerů nebo při výrobě materiálů, které Urbanity používá. Na detailnějším sledování GHG emisí </w:t>
      </w:r>
      <w:proofErr w:type="spellStart"/>
      <w:r w:rsidRPr="002E0BB9">
        <w:rPr>
          <w:rFonts w:ascii="Arial" w:eastAsia="Arial" w:hAnsi="Arial" w:cs="Arial"/>
          <w:i/>
          <w:iCs/>
          <w:sz w:val="22"/>
          <w:szCs w:val="22"/>
        </w:rPr>
        <w:t>Scope</w:t>
      </w:r>
      <w:proofErr w:type="spellEnd"/>
      <w:r w:rsidRPr="002E0BB9">
        <w:rPr>
          <w:rFonts w:ascii="Arial" w:eastAsia="Arial" w:hAnsi="Arial" w:cs="Arial"/>
          <w:i/>
          <w:iCs/>
          <w:sz w:val="22"/>
          <w:szCs w:val="22"/>
        </w:rPr>
        <w:t xml:space="preserve"> 3 dále letos pracujeme. Cílem je získat co nejkomplexnější obrázek o tom, jaký vliv má celý ekosystém firmy na životní prostředí a společnost,”</w:t>
      </w:r>
      <w:r w:rsidRPr="002E0BB9">
        <w:rPr>
          <w:rFonts w:ascii="Arial" w:eastAsia="Arial" w:hAnsi="Arial" w:cs="Arial"/>
          <w:sz w:val="22"/>
          <w:szCs w:val="22"/>
        </w:rPr>
        <w:t xml:space="preserve"> vysvětluje </w:t>
      </w:r>
      <w:r w:rsidRPr="002E0BB9">
        <w:rPr>
          <w:rFonts w:ascii="Arial" w:eastAsia="Arial" w:hAnsi="Arial" w:cs="Arial"/>
          <w:b/>
          <w:bCs/>
          <w:sz w:val="22"/>
          <w:szCs w:val="22"/>
        </w:rPr>
        <w:t xml:space="preserve">Kateřina </w:t>
      </w:r>
      <w:proofErr w:type="spellStart"/>
      <w:r w:rsidRPr="002E0BB9">
        <w:rPr>
          <w:rFonts w:ascii="Arial" w:eastAsia="Arial" w:hAnsi="Arial" w:cs="Arial"/>
          <w:b/>
          <w:bCs/>
          <w:sz w:val="22"/>
          <w:szCs w:val="22"/>
        </w:rPr>
        <w:t>Šveráková</w:t>
      </w:r>
      <w:proofErr w:type="spellEnd"/>
      <w:r w:rsidRPr="002E0BB9">
        <w:rPr>
          <w:rFonts w:ascii="Arial" w:eastAsia="Arial" w:hAnsi="Arial" w:cs="Arial"/>
          <w:sz w:val="22"/>
          <w:szCs w:val="22"/>
        </w:rPr>
        <w:t xml:space="preserve">, </w:t>
      </w:r>
      <w:r w:rsidRPr="002E0BB9">
        <w:rPr>
          <w:rFonts w:ascii="Arial" w:eastAsia="Arial" w:hAnsi="Arial" w:cs="Arial"/>
          <w:b/>
          <w:bCs/>
          <w:sz w:val="22"/>
          <w:szCs w:val="22"/>
        </w:rPr>
        <w:t>zodpovědná za celkovou implementaci ESG strategie Urbanity</w:t>
      </w:r>
      <w:r w:rsidRPr="002E0BB9">
        <w:rPr>
          <w:rFonts w:ascii="Arial" w:eastAsia="Arial" w:hAnsi="Arial" w:cs="Arial"/>
          <w:sz w:val="22"/>
          <w:szCs w:val="22"/>
        </w:rPr>
        <w:t>. Hodnototvorný řetězec tvoří přibližně 290 dodavatelů, přičemž 100 % z nich má už dnes ve smlouvách ESG ustanovení.</w:t>
      </w:r>
    </w:p>
    <w:p w14:paraId="5D956D8D" w14:textId="5D84C632" w:rsidR="631DDA43" w:rsidRDefault="631DDA43" w:rsidP="6DBDEB76">
      <w:pPr>
        <w:rPr>
          <w:rFonts w:ascii="Arial" w:eastAsia="Arial" w:hAnsi="Arial" w:cs="Arial"/>
          <w:sz w:val="22"/>
          <w:szCs w:val="22"/>
        </w:rPr>
      </w:pPr>
      <w:r w:rsidRPr="002E0BB9">
        <w:rPr>
          <w:rFonts w:ascii="Arial" w:eastAsia="Arial" w:hAnsi="Arial" w:cs="Arial"/>
          <w:sz w:val="22"/>
          <w:szCs w:val="22"/>
        </w:rPr>
        <w:t xml:space="preserve">Urbanity se ESG reportingu </w:t>
      </w:r>
      <w:r w:rsidR="00401FA4" w:rsidRPr="002E0BB9">
        <w:rPr>
          <w:rFonts w:ascii="Arial" w:eastAsia="Arial" w:hAnsi="Arial" w:cs="Arial"/>
          <w:sz w:val="22"/>
          <w:szCs w:val="22"/>
        </w:rPr>
        <w:t xml:space="preserve">ve spolupráci </w:t>
      </w:r>
      <w:r w:rsidR="00DE7FCB" w:rsidRPr="002E0BB9">
        <w:rPr>
          <w:rFonts w:ascii="Arial" w:eastAsia="Arial" w:hAnsi="Arial" w:cs="Arial"/>
          <w:sz w:val="22"/>
          <w:szCs w:val="22"/>
        </w:rPr>
        <w:t xml:space="preserve">s Frank </w:t>
      </w:r>
      <w:proofErr w:type="spellStart"/>
      <w:r w:rsidR="00DE7FCB" w:rsidRPr="002E0BB9">
        <w:rPr>
          <w:rFonts w:ascii="Arial" w:eastAsia="Arial" w:hAnsi="Arial" w:cs="Arial"/>
          <w:sz w:val="22"/>
          <w:szCs w:val="22"/>
        </w:rPr>
        <w:t>Bold</w:t>
      </w:r>
      <w:proofErr w:type="spellEnd"/>
      <w:r w:rsidR="00DE7FCB" w:rsidRPr="002E0BB9">
        <w:rPr>
          <w:rFonts w:ascii="Arial" w:eastAsia="Arial" w:hAnsi="Arial" w:cs="Arial"/>
          <w:sz w:val="22"/>
          <w:szCs w:val="22"/>
        </w:rPr>
        <w:t xml:space="preserve"> Advisory </w:t>
      </w:r>
      <w:r w:rsidRPr="002E0BB9">
        <w:rPr>
          <w:rFonts w:ascii="Arial" w:eastAsia="Arial" w:hAnsi="Arial" w:cs="Arial"/>
          <w:sz w:val="22"/>
          <w:szCs w:val="22"/>
        </w:rPr>
        <w:t>věnuje systematicky od roku 202</w:t>
      </w:r>
      <w:r w:rsidR="00587896" w:rsidRPr="002E0BB9">
        <w:rPr>
          <w:rFonts w:ascii="Arial" w:eastAsia="Arial" w:hAnsi="Arial" w:cs="Arial"/>
          <w:sz w:val="22"/>
          <w:szCs w:val="22"/>
        </w:rPr>
        <w:t>1</w:t>
      </w:r>
      <w:r w:rsidRPr="002E0BB9">
        <w:rPr>
          <w:rFonts w:ascii="Arial" w:eastAsia="Arial" w:hAnsi="Arial" w:cs="Arial"/>
          <w:sz w:val="22"/>
          <w:szCs w:val="22"/>
        </w:rPr>
        <w:t xml:space="preserve">. V roce 2024 se společnost podruhé umístila v TOP 5 ESG Ratingu Asociace společenské odpovědnosti v kategorii malých a středních podniků – jako první firma ze segmentu </w:t>
      </w:r>
      <w:proofErr w:type="spellStart"/>
      <w:r w:rsidRPr="002E0BB9">
        <w:rPr>
          <w:rFonts w:ascii="Arial" w:eastAsia="Arial" w:hAnsi="Arial" w:cs="Arial"/>
          <w:sz w:val="22"/>
          <w:szCs w:val="22"/>
        </w:rPr>
        <w:t>real</w:t>
      </w:r>
      <w:proofErr w:type="spellEnd"/>
      <w:r w:rsidRPr="002E0BB9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2E0BB9">
        <w:rPr>
          <w:rFonts w:ascii="Arial" w:eastAsia="Arial" w:hAnsi="Arial" w:cs="Arial"/>
          <w:sz w:val="22"/>
          <w:szCs w:val="22"/>
        </w:rPr>
        <w:t>estate</w:t>
      </w:r>
      <w:proofErr w:type="spellEnd"/>
      <w:r w:rsidRPr="002E0BB9">
        <w:rPr>
          <w:rFonts w:ascii="Arial" w:eastAsia="Arial" w:hAnsi="Arial" w:cs="Arial"/>
          <w:sz w:val="22"/>
          <w:szCs w:val="22"/>
        </w:rPr>
        <w:t>.</w:t>
      </w:r>
    </w:p>
    <w:p w14:paraId="3B3CEC85" w14:textId="52223496" w:rsidR="00412217" w:rsidRDefault="00412217" w:rsidP="6DBDEB76">
      <w:pPr>
        <w:rPr>
          <w:rFonts w:ascii="Arial" w:eastAsia="Arial" w:hAnsi="Arial" w:cs="Arial"/>
          <w:sz w:val="22"/>
          <w:szCs w:val="22"/>
        </w:rPr>
      </w:pPr>
      <w:r w:rsidRPr="00A47B4C">
        <w:rPr>
          <w:rFonts w:ascii="Arial" w:eastAsia="Arial" w:hAnsi="Arial" w:cs="Arial"/>
          <w:b/>
          <w:bCs/>
          <w:sz w:val="22"/>
          <w:szCs w:val="22"/>
        </w:rPr>
        <w:t>Celý report je dostupný na web</w:t>
      </w:r>
      <w:r w:rsidR="00A47B4C">
        <w:rPr>
          <w:rFonts w:ascii="Arial" w:eastAsia="Arial" w:hAnsi="Arial" w:cs="Arial"/>
          <w:b/>
          <w:bCs/>
          <w:sz w:val="22"/>
          <w:szCs w:val="22"/>
        </w:rPr>
        <w:t>ové stránce:</w:t>
      </w:r>
      <w:r>
        <w:rPr>
          <w:rFonts w:ascii="Arial" w:eastAsia="Arial" w:hAnsi="Arial" w:cs="Arial"/>
          <w:sz w:val="22"/>
          <w:szCs w:val="22"/>
        </w:rPr>
        <w:t xml:space="preserve"> </w:t>
      </w:r>
      <w:hyperlink r:id="rId8" w:history="1">
        <w:r w:rsidRPr="00412217">
          <w:rPr>
            <w:rStyle w:val="Hypertextovodkaz"/>
            <w:rFonts w:ascii="Arial" w:eastAsia="Arial" w:hAnsi="Arial" w:cs="Arial"/>
            <w:sz w:val="22"/>
            <w:szCs w:val="22"/>
          </w:rPr>
          <w:t>https://</w:t>
        </w:r>
        <w:r w:rsidRPr="00412217">
          <w:rPr>
            <w:rStyle w:val="Hypertextovodkaz"/>
            <w:rFonts w:ascii="Arial" w:eastAsia="Arial" w:hAnsi="Arial" w:cs="Arial"/>
            <w:sz w:val="22"/>
            <w:szCs w:val="22"/>
          </w:rPr>
          <w:t>w</w:t>
        </w:r>
        <w:r w:rsidRPr="00412217">
          <w:rPr>
            <w:rStyle w:val="Hypertextovodkaz"/>
            <w:rFonts w:ascii="Arial" w:eastAsia="Arial" w:hAnsi="Arial" w:cs="Arial"/>
            <w:sz w:val="22"/>
            <w:szCs w:val="22"/>
          </w:rPr>
          <w:t>ww.urbanity.cz/cz/o-nas/</w:t>
        </w:r>
      </w:hyperlink>
      <w:r>
        <w:rPr>
          <w:rFonts w:ascii="Arial" w:eastAsia="Arial" w:hAnsi="Arial" w:cs="Arial"/>
          <w:sz w:val="22"/>
          <w:szCs w:val="22"/>
        </w:rPr>
        <w:t xml:space="preserve">.  </w:t>
      </w:r>
    </w:p>
    <w:p w14:paraId="52807E70" w14:textId="54E29EC8" w:rsidR="001468BF" w:rsidRPr="00A3603E" w:rsidRDefault="001468BF" w:rsidP="6DBDEB76">
      <w:pPr>
        <w:rPr>
          <w:rFonts w:ascii="Arial" w:eastAsia="Arial" w:hAnsi="Arial" w:cs="Arial"/>
          <w:b/>
          <w:bCs/>
          <w:color w:val="212529"/>
          <w:sz w:val="22"/>
          <w:szCs w:val="22"/>
        </w:rPr>
      </w:pPr>
      <w:r w:rsidRPr="00A3603E">
        <w:rPr>
          <w:rFonts w:ascii="Arial" w:eastAsia="Arial" w:hAnsi="Arial" w:cs="Arial"/>
          <w:b/>
          <w:bCs/>
          <w:color w:val="212529"/>
          <w:sz w:val="22"/>
          <w:szCs w:val="22"/>
        </w:rPr>
        <w:lastRenderedPageBreak/>
        <w:t>Kontakt pro média:</w:t>
      </w:r>
    </w:p>
    <w:p w14:paraId="47640B27" w14:textId="224CC771" w:rsidR="00A3603E" w:rsidRPr="00A3603E" w:rsidRDefault="00A3603E" w:rsidP="00A3603E">
      <w:pPr>
        <w:rPr>
          <w:rFonts w:ascii="Arial" w:eastAsia="Arial" w:hAnsi="Arial" w:cs="Arial"/>
          <w:color w:val="212529"/>
          <w:sz w:val="22"/>
          <w:szCs w:val="22"/>
        </w:rPr>
      </w:pPr>
      <w:r w:rsidRPr="00A3603E">
        <w:rPr>
          <w:rFonts w:ascii="Arial" w:eastAsia="Arial" w:hAnsi="Arial" w:cs="Arial"/>
          <w:color w:val="212529"/>
          <w:sz w:val="22"/>
          <w:szCs w:val="22"/>
        </w:rPr>
        <w:t>Markéta Bočková</w:t>
      </w:r>
    </w:p>
    <w:p w14:paraId="640CC0AA" w14:textId="77777777" w:rsidR="00A3603E" w:rsidRPr="00A3603E" w:rsidRDefault="00A3603E" w:rsidP="00A3603E">
      <w:pPr>
        <w:rPr>
          <w:rFonts w:ascii="Arial" w:eastAsia="Arial" w:hAnsi="Arial" w:cs="Arial"/>
          <w:color w:val="212529"/>
          <w:sz w:val="22"/>
          <w:szCs w:val="22"/>
        </w:rPr>
      </w:pPr>
      <w:r w:rsidRPr="00A3603E">
        <w:rPr>
          <w:rFonts w:ascii="Arial" w:eastAsia="Arial" w:hAnsi="Arial" w:cs="Arial"/>
          <w:color w:val="212529"/>
          <w:sz w:val="22"/>
          <w:szCs w:val="22"/>
        </w:rPr>
        <w:t>+420 734 440 603</w:t>
      </w:r>
    </w:p>
    <w:p w14:paraId="5848305E" w14:textId="77777777" w:rsidR="00A3603E" w:rsidRPr="00A3603E" w:rsidRDefault="00A3603E" w:rsidP="00A3603E">
      <w:pPr>
        <w:rPr>
          <w:rFonts w:ascii="Arial" w:eastAsia="Arial" w:hAnsi="Arial" w:cs="Arial"/>
          <w:color w:val="212529"/>
          <w:sz w:val="22"/>
          <w:szCs w:val="22"/>
        </w:rPr>
      </w:pPr>
      <w:r w:rsidRPr="00A3603E">
        <w:rPr>
          <w:rFonts w:ascii="Arial" w:eastAsia="Arial" w:hAnsi="Arial" w:cs="Arial"/>
          <w:color w:val="212529"/>
          <w:sz w:val="22"/>
          <w:szCs w:val="22"/>
        </w:rPr>
        <w:t>marketa.bockova@frankbold.org</w:t>
      </w:r>
    </w:p>
    <w:p w14:paraId="0AC57081" w14:textId="3D3CA063" w:rsidR="00A3603E" w:rsidRDefault="00A3603E" w:rsidP="00A3603E">
      <w:pPr>
        <w:pStyle w:val="Nadpis2"/>
        <w:pBdr>
          <w:bottom w:val="single" w:sz="12" w:space="0" w:color="000000"/>
        </w:pBdr>
        <w:spacing w:line="320" w:lineRule="atLeast"/>
        <w:jc w:val="both"/>
        <w:rPr>
          <w:b/>
          <w:bCs/>
          <w:i/>
          <w:iCs/>
          <w:color w:val="000000"/>
          <w:sz w:val="28"/>
          <w:szCs w:val="28"/>
          <w:u w:color="000000"/>
        </w:rPr>
      </w:pPr>
      <w:r>
        <w:rPr>
          <w:rFonts w:ascii="Arial" w:eastAsia="Arial" w:hAnsi="Arial" w:cs="Arial"/>
          <w:b/>
          <w:bCs/>
          <w:color w:val="000000"/>
          <w:sz w:val="28"/>
          <w:szCs w:val="28"/>
          <w:u w:color="000000"/>
        </w:rPr>
        <w:tab/>
      </w:r>
      <w:r>
        <w:rPr>
          <w:rFonts w:ascii="Arial" w:eastAsia="Arial" w:hAnsi="Arial" w:cs="Arial"/>
          <w:b/>
          <w:bCs/>
          <w:color w:val="000000"/>
          <w:sz w:val="28"/>
          <w:szCs w:val="28"/>
          <w:u w:color="000000"/>
        </w:rPr>
        <w:tab/>
      </w:r>
      <w:r>
        <w:rPr>
          <w:rFonts w:ascii="Arial" w:eastAsia="Arial" w:hAnsi="Arial" w:cs="Arial"/>
          <w:b/>
          <w:bCs/>
          <w:color w:val="000000"/>
          <w:sz w:val="28"/>
          <w:szCs w:val="28"/>
          <w:u w:color="000000"/>
        </w:rPr>
        <w:tab/>
      </w:r>
      <w:r>
        <w:rPr>
          <w:rFonts w:ascii="Arial" w:eastAsia="Arial" w:hAnsi="Arial" w:cs="Arial"/>
          <w:b/>
          <w:bCs/>
          <w:color w:val="000000"/>
          <w:sz w:val="28"/>
          <w:szCs w:val="28"/>
          <w:u w:color="000000"/>
        </w:rPr>
        <w:tab/>
        <w:t xml:space="preserve">        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u w:color="000000"/>
        </w:rPr>
        <w:tab/>
      </w:r>
      <w:r>
        <w:rPr>
          <w:rFonts w:ascii="Arial" w:hAnsi="Arial"/>
          <w:b/>
          <w:bCs/>
          <w:color w:val="000000"/>
          <w:sz w:val="28"/>
          <w:szCs w:val="28"/>
          <w:u w:color="000000"/>
        </w:rPr>
        <w:t xml:space="preserve">    </w:t>
      </w:r>
      <w:r>
        <w:rPr>
          <w:rFonts w:ascii="Arial" w:hAnsi="Arial"/>
          <w:b/>
          <w:bCs/>
          <w:color w:val="000000"/>
          <w:sz w:val="28"/>
          <w:szCs w:val="28"/>
          <w:u w:color="000000"/>
        </w:rPr>
        <w:tab/>
      </w:r>
    </w:p>
    <w:p w14:paraId="0760C678" w14:textId="79F874F0" w:rsidR="00301333" w:rsidRPr="002E0BB9" w:rsidRDefault="0C945B6C" w:rsidP="00E34BBD">
      <w:pPr>
        <w:jc w:val="both"/>
        <w:rPr>
          <w:rFonts w:ascii="Arial" w:eastAsia="Arial" w:hAnsi="Arial" w:cs="Arial"/>
          <w:i/>
          <w:iCs/>
          <w:color w:val="212529"/>
          <w:sz w:val="22"/>
          <w:szCs w:val="22"/>
        </w:rPr>
      </w:pPr>
      <w:r w:rsidRPr="6DBDEB76">
        <w:rPr>
          <w:rFonts w:ascii="Arial" w:eastAsia="Arial" w:hAnsi="Arial" w:cs="Arial"/>
          <w:b/>
          <w:bCs/>
          <w:i/>
          <w:iCs/>
          <w:color w:val="212529"/>
          <w:sz w:val="22"/>
          <w:szCs w:val="22"/>
        </w:rPr>
        <w:t xml:space="preserve">URBANITY </w:t>
      </w:r>
      <w:r w:rsidRPr="6DBDEB76">
        <w:rPr>
          <w:rFonts w:ascii="Arial" w:eastAsia="Arial" w:hAnsi="Arial" w:cs="Arial"/>
          <w:i/>
          <w:iCs/>
          <w:color w:val="212529"/>
          <w:sz w:val="22"/>
          <w:szCs w:val="22"/>
        </w:rPr>
        <w:t>je nemovitostní skupina, která působí v segmentu prémiových komerčních nemovitostí. Jejím záměrem je budování průmyslových kampusů nové generace, kde přidanou hodnotu tvoří prostředí výrazně orientované na potřeby a komfort jejich nájemců. Koncept projektů „made by Urbanity“ vychází vstříc individuálním nárokům moderních zaměstnavatelů, a především jejich zaměstnanců, stejně jako požadavkům na ekologickou a energetickou udržitelnost vlastního provozu. Svým komplexním urbanistickým řešením jsou realizace skupiny Urbanity, jež je součástí investiční skupiny</w:t>
      </w:r>
      <w:r w:rsidRPr="6DBDEB76">
        <w:rPr>
          <w:rFonts w:ascii="Arial" w:eastAsia="Arial" w:hAnsi="Arial" w:cs="Arial"/>
          <w:color w:val="212529"/>
          <w:sz w:val="22"/>
          <w:szCs w:val="22"/>
        </w:rPr>
        <w:t xml:space="preserve"> </w:t>
      </w:r>
      <w:proofErr w:type="spellStart"/>
      <w:r w:rsidRPr="6DBDEB76">
        <w:rPr>
          <w:rFonts w:ascii="Arial" w:eastAsia="Arial" w:hAnsi="Arial" w:cs="Arial"/>
          <w:i/>
          <w:iCs/>
          <w:color w:val="212529"/>
          <w:sz w:val="22"/>
          <w:szCs w:val="22"/>
        </w:rPr>
        <w:t>M.L.Moran</w:t>
      </w:r>
      <w:proofErr w:type="spellEnd"/>
      <w:r w:rsidRPr="6DBDEB76">
        <w:rPr>
          <w:rFonts w:ascii="Arial" w:eastAsia="Arial" w:hAnsi="Arial" w:cs="Arial"/>
          <w:i/>
          <w:iCs/>
          <w:color w:val="212529"/>
          <w:sz w:val="22"/>
          <w:szCs w:val="22"/>
        </w:rPr>
        <w:t xml:space="preserve"> založené roku 1996, na českém trhu ojedinělé a představují budoucnost kultivace průmyslových areálů a brownfieldů pro 21. století.</w:t>
      </w:r>
    </w:p>
    <w:sectPr w:rsidR="00301333" w:rsidRPr="002E0B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BBC4D" w14:textId="77777777" w:rsidR="003627EA" w:rsidRDefault="003627EA" w:rsidP="00A3603E">
      <w:pPr>
        <w:spacing w:after="0" w:line="240" w:lineRule="auto"/>
      </w:pPr>
      <w:r>
        <w:separator/>
      </w:r>
    </w:p>
  </w:endnote>
  <w:endnote w:type="continuationSeparator" w:id="0">
    <w:p w14:paraId="5492FC44" w14:textId="77777777" w:rsidR="003627EA" w:rsidRDefault="003627EA" w:rsidP="00A360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792C8" w14:textId="77777777" w:rsidR="003627EA" w:rsidRDefault="003627EA" w:rsidP="00A3603E">
      <w:pPr>
        <w:spacing w:after="0" w:line="240" w:lineRule="auto"/>
      </w:pPr>
      <w:r>
        <w:separator/>
      </w:r>
    </w:p>
  </w:footnote>
  <w:footnote w:type="continuationSeparator" w:id="0">
    <w:p w14:paraId="7F2E3E3C" w14:textId="77777777" w:rsidR="003627EA" w:rsidRDefault="003627EA" w:rsidP="00A360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826E605"/>
    <w:rsid w:val="000101E2"/>
    <w:rsid w:val="001468BF"/>
    <w:rsid w:val="00245447"/>
    <w:rsid w:val="002C0BC8"/>
    <w:rsid w:val="002E0BB9"/>
    <w:rsid w:val="00301333"/>
    <w:rsid w:val="00333977"/>
    <w:rsid w:val="00352936"/>
    <w:rsid w:val="003627EA"/>
    <w:rsid w:val="00401FA4"/>
    <w:rsid w:val="00412217"/>
    <w:rsid w:val="0042587F"/>
    <w:rsid w:val="00462201"/>
    <w:rsid w:val="005261C7"/>
    <w:rsid w:val="00587896"/>
    <w:rsid w:val="006F29DD"/>
    <w:rsid w:val="0077EE05"/>
    <w:rsid w:val="00810478"/>
    <w:rsid w:val="008367DA"/>
    <w:rsid w:val="00837A49"/>
    <w:rsid w:val="008C53A0"/>
    <w:rsid w:val="0091782D"/>
    <w:rsid w:val="009A01AB"/>
    <w:rsid w:val="009B2DC5"/>
    <w:rsid w:val="00A3603E"/>
    <w:rsid w:val="00A47B4C"/>
    <w:rsid w:val="00A9749D"/>
    <w:rsid w:val="00AB54BF"/>
    <w:rsid w:val="00BC1F8A"/>
    <w:rsid w:val="00C0E3E8"/>
    <w:rsid w:val="00C1E62B"/>
    <w:rsid w:val="00D92EC5"/>
    <w:rsid w:val="00DE7FCB"/>
    <w:rsid w:val="00E237DD"/>
    <w:rsid w:val="00E34BBD"/>
    <w:rsid w:val="00E34EC1"/>
    <w:rsid w:val="00E93C08"/>
    <w:rsid w:val="00EC418B"/>
    <w:rsid w:val="01CDBCFE"/>
    <w:rsid w:val="02C80D32"/>
    <w:rsid w:val="03151055"/>
    <w:rsid w:val="03223362"/>
    <w:rsid w:val="04869DD0"/>
    <w:rsid w:val="04BE1BC0"/>
    <w:rsid w:val="05092FD6"/>
    <w:rsid w:val="05896BB6"/>
    <w:rsid w:val="08252A04"/>
    <w:rsid w:val="0C945B6C"/>
    <w:rsid w:val="0CA3125F"/>
    <w:rsid w:val="0D55DFE4"/>
    <w:rsid w:val="0F8462EE"/>
    <w:rsid w:val="1120EE8A"/>
    <w:rsid w:val="115340A7"/>
    <w:rsid w:val="11FF08B0"/>
    <w:rsid w:val="14F7E0F4"/>
    <w:rsid w:val="16CB4D01"/>
    <w:rsid w:val="176C3498"/>
    <w:rsid w:val="1AB186D1"/>
    <w:rsid w:val="1AEEFCEF"/>
    <w:rsid w:val="1C612D42"/>
    <w:rsid w:val="1D692A6F"/>
    <w:rsid w:val="1FB85AE5"/>
    <w:rsid w:val="1FBA3EB0"/>
    <w:rsid w:val="200BE508"/>
    <w:rsid w:val="2090381E"/>
    <w:rsid w:val="20F8C3CE"/>
    <w:rsid w:val="22979824"/>
    <w:rsid w:val="22B9CCFB"/>
    <w:rsid w:val="269B870D"/>
    <w:rsid w:val="2CB7603F"/>
    <w:rsid w:val="2CD1EC5D"/>
    <w:rsid w:val="2E414B29"/>
    <w:rsid w:val="2E6F0006"/>
    <w:rsid w:val="2FB67218"/>
    <w:rsid w:val="344DA67E"/>
    <w:rsid w:val="34E46707"/>
    <w:rsid w:val="352CC850"/>
    <w:rsid w:val="37B7C128"/>
    <w:rsid w:val="385CD582"/>
    <w:rsid w:val="38DF86E7"/>
    <w:rsid w:val="38F4E2DE"/>
    <w:rsid w:val="397AF043"/>
    <w:rsid w:val="3D43F990"/>
    <w:rsid w:val="3E0CD1FD"/>
    <w:rsid w:val="41A2289C"/>
    <w:rsid w:val="42F44742"/>
    <w:rsid w:val="4507F541"/>
    <w:rsid w:val="45C2AB75"/>
    <w:rsid w:val="4700E7F7"/>
    <w:rsid w:val="4702B396"/>
    <w:rsid w:val="477A566B"/>
    <w:rsid w:val="4826E605"/>
    <w:rsid w:val="497E541C"/>
    <w:rsid w:val="49ED7F06"/>
    <w:rsid w:val="4AFC9547"/>
    <w:rsid w:val="4BDEAA93"/>
    <w:rsid w:val="4C59424C"/>
    <w:rsid w:val="4CD838CE"/>
    <w:rsid w:val="4D1588A5"/>
    <w:rsid w:val="4E6CC3B3"/>
    <w:rsid w:val="4F517A9F"/>
    <w:rsid w:val="52DF235D"/>
    <w:rsid w:val="533CB9F3"/>
    <w:rsid w:val="53E4A887"/>
    <w:rsid w:val="54486674"/>
    <w:rsid w:val="565396E2"/>
    <w:rsid w:val="56B63D36"/>
    <w:rsid w:val="58BD87A8"/>
    <w:rsid w:val="58ED78D9"/>
    <w:rsid w:val="596DAD8F"/>
    <w:rsid w:val="5CC97DDF"/>
    <w:rsid w:val="5D95B0CE"/>
    <w:rsid w:val="61E9C7A2"/>
    <w:rsid w:val="6224A7E1"/>
    <w:rsid w:val="6238FE1B"/>
    <w:rsid w:val="631DDA43"/>
    <w:rsid w:val="63FC5F01"/>
    <w:rsid w:val="641DE041"/>
    <w:rsid w:val="654C079E"/>
    <w:rsid w:val="664C0752"/>
    <w:rsid w:val="6BF501AD"/>
    <w:rsid w:val="6C09078D"/>
    <w:rsid w:val="6DBDEB76"/>
    <w:rsid w:val="703F7869"/>
    <w:rsid w:val="71502AA5"/>
    <w:rsid w:val="73682B0B"/>
    <w:rsid w:val="76933D6F"/>
    <w:rsid w:val="770DF158"/>
    <w:rsid w:val="789BDC16"/>
    <w:rsid w:val="790F1BB7"/>
    <w:rsid w:val="7A9A912A"/>
    <w:rsid w:val="7ADF4B0E"/>
    <w:rsid w:val="7C4C9ED1"/>
    <w:rsid w:val="7E553CCB"/>
    <w:rsid w:val="7F7E4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6E605"/>
  <w15:chartTrackingRefBased/>
  <w15:docId w15:val="{701DA73B-C4B5-4199-A7C5-3B5F361CF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next w:val="Normln"/>
    <w:link w:val="Nadpis2Char"/>
    <w:rsid w:val="002E0BB9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120" w:after="0" w:line="240" w:lineRule="auto"/>
      <w:outlineLvl w:val="1"/>
    </w:pPr>
    <w:rPr>
      <w:rFonts w:ascii="Calibri Light" w:eastAsia="Calibri Light" w:hAnsi="Calibri Light" w:cs="Calibri Light"/>
      <w:color w:val="ED7D31"/>
      <w:sz w:val="36"/>
      <w:szCs w:val="36"/>
      <w:u w:color="ED7D31"/>
      <w:bdr w:val="ni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evize">
    <w:name w:val="Revision"/>
    <w:hidden/>
    <w:uiPriority w:val="99"/>
    <w:semiHidden/>
    <w:rsid w:val="006F29DD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6F29D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F29D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F29D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F29D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F29DD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412217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12217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rsid w:val="002E0BB9"/>
    <w:rPr>
      <w:rFonts w:ascii="Calibri Light" w:eastAsia="Calibri Light" w:hAnsi="Calibri Light" w:cs="Calibri Light"/>
      <w:color w:val="ED7D31"/>
      <w:sz w:val="36"/>
      <w:szCs w:val="36"/>
      <w:u w:color="ED7D31"/>
      <w:bdr w:val="nil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360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3603E"/>
  </w:style>
  <w:style w:type="paragraph" w:styleId="Zpat">
    <w:name w:val="footer"/>
    <w:basedOn w:val="Normln"/>
    <w:link w:val="ZpatChar"/>
    <w:uiPriority w:val="99"/>
    <w:unhideWhenUsed/>
    <w:rsid w:val="00A360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3603E"/>
  </w:style>
  <w:style w:type="character" w:styleId="Sledovanodkaz">
    <w:name w:val="FollowedHyperlink"/>
    <w:basedOn w:val="Standardnpsmoodstavce"/>
    <w:uiPriority w:val="99"/>
    <w:semiHidden/>
    <w:unhideWhenUsed/>
    <w:rsid w:val="00E34BB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rbanity.cz/cz/o-nas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.urbanity.cz/files/ESG/Urbanity-ESG-report-2024_CZ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590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Povolný</dc:creator>
  <cp:keywords/>
  <dc:description/>
  <cp:lastModifiedBy>Gabriela Hampejsová</cp:lastModifiedBy>
  <cp:revision>2</cp:revision>
  <dcterms:created xsi:type="dcterms:W3CDTF">2025-09-10T10:15:00Z</dcterms:created>
  <dcterms:modified xsi:type="dcterms:W3CDTF">2025-09-10T10:15:00Z</dcterms:modified>
</cp:coreProperties>
</file>